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right="-340" w:rightChars="-162"/>
        <w:jc w:val="center"/>
        <w:rPr>
          <w:rFonts w:ascii="方正小标宋简体" w:hAnsi="方正小标宋简体" w:eastAsia="方正小标宋简体" w:cs="方正小标宋简体"/>
          <w:bCs/>
          <w:sz w:val="44"/>
          <w:szCs w:val="44"/>
        </w:rPr>
      </w:pPr>
    </w:p>
    <w:p>
      <w:pPr>
        <w:pStyle w:val="6"/>
      </w:pPr>
    </w:p>
    <w:p>
      <w:pPr>
        <w:keepNext w:val="0"/>
        <w:keepLines w:val="0"/>
        <w:widowControl/>
        <w:suppressLineNumbers w:val="0"/>
        <w:ind w:firstLine="860" w:firstLineChars="200"/>
        <w:jc w:val="left"/>
        <w:rPr>
          <w:rFonts w:ascii="CIDFont" w:hAnsi="CIDFont" w:eastAsia="CIDFont" w:cs="CIDFont"/>
          <w:b/>
          <w:bCs/>
          <w:color w:val="000000"/>
          <w:kern w:val="0"/>
          <w:sz w:val="43"/>
          <w:szCs w:val="43"/>
          <w:lang w:val="en-US" w:eastAsia="zh-CN" w:bidi="ar"/>
        </w:rPr>
      </w:pPr>
    </w:p>
    <w:p>
      <w:pPr>
        <w:spacing w:line="360" w:lineRule="auto"/>
        <w:ind w:firstLine="1767" w:firstLineChars="400"/>
        <w:jc w:val="both"/>
        <w:rPr>
          <w:rFonts w:hint="eastAsia" w:ascii="宋体" w:hAnsi="宋体" w:eastAsia="宋体" w:cs="宋体"/>
          <w:b/>
          <w:sz w:val="44"/>
          <w:szCs w:val="44"/>
        </w:rPr>
      </w:pPr>
      <w:r>
        <w:rPr>
          <w:rFonts w:hint="eastAsia" w:ascii="宋体" w:hAnsi="宋体" w:eastAsia="宋体" w:cs="宋体"/>
          <w:b/>
          <w:sz w:val="44"/>
          <w:szCs w:val="44"/>
          <w:lang w:val="en-US" w:eastAsia="zh-CN"/>
        </w:rPr>
        <w:t>微山湖矿业集团</w:t>
      </w:r>
      <w:r>
        <w:rPr>
          <w:rFonts w:hint="eastAsia" w:ascii="宋体" w:hAnsi="宋体" w:eastAsia="宋体" w:cs="宋体"/>
          <w:b/>
          <w:sz w:val="44"/>
          <w:szCs w:val="44"/>
        </w:rPr>
        <w:t>崔庄煤矿</w:t>
      </w:r>
    </w:p>
    <w:p>
      <w:pPr>
        <w:spacing w:line="360" w:lineRule="auto"/>
        <w:ind w:firstLine="1767" w:firstLineChars="400"/>
        <w:jc w:val="both"/>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矿用电控液压移动列车组</w:t>
      </w:r>
    </w:p>
    <w:p>
      <w:pPr>
        <w:spacing w:line="360" w:lineRule="auto"/>
        <w:ind w:firstLine="2209" w:firstLineChars="500"/>
        <w:jc w:val="both"/>
        <w:rPr>
          <w:rFonts w:hint="eastAsia" w:ascii="宋体" w:hAnsi="宋体" w:eastAsia="宋体" w:cs="宋体"/>
          <w:b/>
          <w:sz w:val="44"/>
          <w:szCs w:val="44"/>
          <w:lang w:val="en-US" w:eastAsia="zh-CN"/>
        </w:rPr>
      </w:pPr>
      <w:r>
        <w:rPr>
          <w:rFonts w:hint="eastAsia" w:ascii="宋体" w:hAnsi="宋体" w:cs="宋体"/>
          <w:b/>
          <w:sz w:val="44"/>
          <w:szCs w:val="44"/>
          <w:lang w:val="en-US" w:eastAsia="zh-CN"/>
        </w:rPr>
        <w:t>移动电缆车</w:t>
      </w:r>
      <w:r>
        <w:rPr>
          <w:rFonts w:hint="eastAsia" w:ascii="宋体" w:hAnsi="宋体" w:eastAsia="宋体" w:cs="宋体"/>
          <w:b/>
          <w:sz w:val="44"/>
          <w:szCs w:val="44"/>
          <w:lang w:val="en-US" w:eastAsia="zh-CN"/>
        </w:rPr>
        <w:t>技术要求</w:t>
      </w:r>
    </w:p>
    <w:p>
      <w:pPr>
        <w:spacing w:line="360" w:lineRule="auto"/>
        <w:jc w:val="center"/>
        <w:rPr>
          <w:rFonts w:hint="eastAsia" w:ascii="仿宋" w:hAnsi="仿宋" w:eastAsia="仿宋" w:cs="仿宋"/>
          <w:b/>
          <w:sz w:val="52"/>
          <w:szCs w:val="52"/>
          <w:lang w:val="en-US" w:eastAsia="zh-CN"/>
        </w:rPr>
      </w:pPr>
    </w:p>
    <w:p>
      <w:pPr>
        <w:widowControl/>
        <w:jc w:val="left"/>
        <w:rPr>
          <w:rFonts w:ascii="方正小标宋简体" w:hAnsi="方正小标宋简体" w:eastAsia="方正小标宋简体" w:cs="方正小标宋简体"/>
          <w:bCs/>
          <w:sz w:val="36"/>
          <w:szCs w:val="36"/>
        </w:rPr>
      </w:pPr>
    </w:p>
    <w:p>
      <w:pPr>
        <w:widowControl/>
        <w:jc w:val="left"/>
        <w:rPr>
          <w:rFonts w:ascii="方正小标宋简体" w:hAnsi="方正小标宋简体" w:eastAsia="方正小标宋简体" w:cs="方正小标宋简体"/>
          <w:bCs/>
          <w:sz w:val="36"/>
          <w:szCs w:val="36"/>
        </w:rPr>
      </w:pPr>
    </w:p>
    <w:p>
      <w:pPr>
        <w:widowControl/>
        <w:jc w:val="left"/>
        <w:rPr>
          <w:rFonts w:ascii="方正小标宋简体" w:hAnsi="方正小标宋简体" w:eastAsia="方正小标宋简体" w:cs="方正小标宋简体"/>
          <w:bCs/>
          <w:sz w:val="36"/>
          <w:szCs w:val="36"/>
        </w:rPr>
      </w:pPr>
    </w:p>
    <w:p>
      <w:pPr>
        <w:adjustRightInd w:val="0"/>
        <w:snapToGrid w:val="0"/>
        <w:spacing w:line="360" w:lineRule="auto"/>
        <w:ind w:firstLine="562" w:firstLineChars="200"/>
        <w:jc w:val="left"/>
        <w:outlineLvl w:val="0"/>
        <w:rPr>
          <w:rFonts w:hint="eastAsia" w:ascii="宋体" w:hAnsi="宋体" w:cs="宋体"/>
          <w:b/>
          <w:bCs/>
          <w:sz w:val="28"/>
          <w:szCs w:val="28"/>
        </w:rPr>
      </w:pPr>
    </w:p>
    <w:p>
      <w:pPr>
        <w:adjustRightInd w:val="0"/>
        <w:snapToGrid w:val="0"/>
        <w:spacing w:line="360" w:lineRule="auto"/>
        <w:ind w:firstLine="562" w:firstLineChars="200"/>
        <w:jc w:val="left"/>
        <w:outlineLvl w:val="0"/>
        <w:rPr>
          <w:rFonts w:hint="eastAsia" w:ascii="宋体" w:hAnsi="宋体" w:cs="宋体"/>
          <w:b/>
          <w:bCs/>
          <w:sz w:val="28"/>
          <w:szCs w:val="28"/>
        </w:rPr>
      </w:pPr>
    </w:p>
    <w:p>
      <w:pPr>
        <w:adjustRightInd w:val="0"/>
        <w:snapToGrid w:val="0"/>
        <w:spacing w:line="360" w:lineRule="auto"/>
        <w:ind w:firstLine="562" w:firstLineChars="200"/>
        <w:jc w:val="left"/>
        <w:outlineLvl w:val="0"/>
        <w:rPr>
          <w:rFonts w:hint="eastAsia" w:ascii="宋体" w:hAnsi="宋体" w:cs="宋体"/>
          <w:b/>
          <w:bCs/>
          <w:sz w:val="28"/>
          <w:szCs w:val="28"/>
        </w:rPr>
      </w:pPr>
    </w:p>
    <w:p>
      <w:pPr>
        <w:adjustRightInd w:val="0"/>
        <w:snapToGrid w:val="0"/>
        <w:spacing w:line="360" w:lineRule="auto"/>
        <w:ind w:firstLine="562" w:firstLineChars="200"/>
        <w:jc w:val="left"/>
        <w:outlineLvl w:val="0"/>
        <w:rPr>
          <w:rFonts w:hint="eastAsia" w:ascii="宋体" w:hAnsi="宋体" w:cs="宋体"/>
          <w:b/>
          <w:bCs/>
          <w:sz w:val="28"/>
          <w:szCs w:val="28"/>
        </w:rPr>
      </w:pPr>
    </w:p>
    <w:p>
      <w:pPr>
        <w:adjustRightInd w:val="0"/>
        <w:snapToGrid w:val="0"/>
        <w:spacing w:line="360" w:lineRule="auto"/>
        <w:ind w:firstLine="562" w:firstLineChars="200"/>
        <w:jc w:val="left"/>
        <w:outlineLvl w:val="0"/>
        <w:rPr>
          <w:rFonts w:hint="eastAsia" w:ascii="宋体" w:hAnsi="宋体" w:cs="宋体"/>
          <w:b/>
          <w:bCs/>
          <w:sz w:val="28"/>
          <w:szCs w:val="28"/>
        </w:rPr>
      </w:pPr>
    </w:p>
    <w:p>
      <w:pPr>
        <w:adjustRightInd w:val="0"/>
        <w:snapToGrid w:val="0"/>
        <w:spacing w:line="360" w:lineRule="auto"/>
        <w:ind w:firstLine="562" w:firstLineChars="200"/>
        <w:jc w:val="left"/>
        <w:outlineLvl w:val="0"/>
        <w:rPr>
          <w:rFonts w:hint="eastAsia" w:ascii="宋体" w:hAnsi="宋体" w:cs="宋体"/>
          <w:b/>
          <w:bCs/>
          <w:sz w:val="28"/>
          <w:szCs w:val="28"/>
        </w:rPr>
      </w:pPr>
    </w:p>
    <w:p>
      <w:pPr>
        <w:tabs>
          <w:tab w:val="left" w:pos="2202"/>
        </w:tabs>
        <w:spacing w:line="360" w:lineRule="auto"/>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微山湖矿业集团崔庄煤矿</w:t>
      </w:r>
    </w:p>
    <w:p>
      <w:pPr>
        <w:tabs>
          <w:tab w:val="left" w:pos="2472"/>
        </w:tabs>
        <w:spacing w:line="360" w:lineRule="auto"/>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2023年12月</w:t>
      </w:r>
    </w:p>
    <w:p>
      <w:pPr>
        <w:adjustRightInd w:val="0"/>
        <w:snapToGrid w:val="0"/>
        <w:spacing w:line="360" w:lineRule="auto"/>
        <w:ind w:firstLine="562" w:firstLineChars="200"/>
        <w:jc w:val="left"/>
        <w:outlineLvl w:val="0"/>
        <w:rPr>
          <w:rFonts w:hint="eastAsia" w:ascii="宋体" w:hAnsi="宋体" w:cs="宋体"/>
          <w:b/>
          <w:bCs/>
          <w:sz w:val="28"/>
          <w:szCs w:val="28"/>
        </w:rPr>
      </w:pPr>
    </w:p>
    <w:p>
      <w:pPr>
        <w:jc w:val="center"/>
        <w:rPr>
          <w:rFonts w:hint="eastAsia" w:ascii="宋体" w:hAnsi="宋体" w:eastAsia="宋体" w:cs="Arial"/>
          <w:b/>
          <w:color w:val="000000"/>
          <w:kern w:val="0"/>
          <w:sz w:val="36"/>
          <w:szCs w:val="36"/>
          <w:lang w:val="en-US" w:eastAsia="zh-CN"/>
        </w:rPr>
      </w:pPr>
    </w:p>
    <w:p>
      <w:pPr>
        <w:jc w:val="center"/>
        <w:rPr>
          <w:rFonts w:hint="eastAsia" w:ascii="宋体" w:hAnsi="宋体" w:eastAsia="宋体" w:cs="Arial"/>
          <w:b/>
          <w:color w:val="000000"/>
          <w:kern w:val="0"/>
          <w:sz w:val="36"/>
          <w:szCs w:val="36"/>
          <w:lang w:val="en-US" w:eastAsia="zh-CN"/>
        </w:rPr>
      </w:pPr>
    </w:p>
    <w:p>
      <w:pPr>
        <w:ind w:firstLine="723" w:firstLineChars="200"/>
        <w:jc w:val="both"/>
        <w:rPr>
          <w:rFonts w:hint="eastAsia" w:ascii="宋体" w:hAnsi="宋体" w:eastAsia="宋体" w:cs="Arial"/>
          <w:b/>
          <w:color w:val="000000"/>
          <w:kern w:val="0"/>
          <w:sz w:val="36"/>
          <w:szCs w:val="36"/>
          <w:lang w:val="en-US" w:eastAsia="zh-CN"/>
        </w:rPr>
        <w:sectPr>
          <w:pgSz w:w="11906" w:h="16838"/>
          <w:pgMar w:top="1440" w:right="1800" w:bottom="1440" w:left="1800" w:header="851" w:footer="992" w:gutter="0"/>
          <w:cols w:space="425" w:num="1"/>
          <w:docGrid w:type="lines" w:linePitch="312" w:charSpace="0"/>
        </w:sectPr>
      </w:pPr>
    </w:p>
    <w:p>
      <w:pPr>
        <w:ind w:firstLine="723" w:firstLineChars="200"/>
        <w:jc w:val="both"/>
        <w:rPr>
          <w:rFonts w:hint="default" w:ascii="宋体" w:hAnsi="宋体" w:eastAsia="宋体" w:cs="Arial"/>
          <w:b/>
          <w:color w:val="000000"/>
          <w:kern w:val="0"/>
          <w:sz w:val="36"/>
          <w:szCs w:val="36"/>
          <w:lang w:val="en-US" w:eastAsia="zh-CN"/>
        </w:rPr>
      </w:pPr>
      <w:r>
        <w:rPr>
          <w:rFonts w:hint="eastAsia" w:ascii="宋体" w:hAnsi="宋体" w:eastAsia="宋体" w:cs="Arial"/>
          <w:b/>
          <w:color w:val="000000"/>
          <w:kern w:val="0"/>
          <w:sz w:val="36"/>
          <w:szCs w:val="36"/>
          <w:lang w:val="en-US" w:eastAsia="zh-CN"/>
        </w:rPr>
        <w:t>矿用电控液压移动列车组技术要求规格书</w:t>
      </w:r>
    </w:p>
    <w:p>
      <w:pPr>
        <w:adjustRightInd w:val="0"/>
        <w:snapToGrid w:val="0"/>
        <w:spacing w:line="360" w:lineRule="auto"/>
        <w:ind w:firstLine="562" w:firstLineChars="200"/>
        <w:jc w:val="left"/>
        <w:outlineLvl w:val="0"/>
        <w:rPr>
          <w:rFonts w:hint="eastAsia" w:ascii="宋体" w:hAnsi="宋体" w:cs="宋体"/>
          <w:b/>
          <w:bCs/>
          <w:sz w:val="28"/>
          <w:szCs w:val="28"/>
        </w:rPr>
      </w:pPr>
    </w:p>
    <w:p>
      <w:pPr>
        <w:adjustRightInd w:val="0"/>
        <w:snapToGrid w:val="0"/>
        <w:spacing w:line="360" w:lineRule="auto"/>
        <w:jc w:val="left"/>
        <w:outlineLvl w:val="0"/>
        <w:rPr>
          <w:rFonts w:hint="eastAsia" w:ascii="宋体" w:hAnsi="宋体" w:eastAsia="宋体" w:cs="宋体"/>
          <w:b/>
          <w:bCs/>
          <w:sz w:val="24"/>
          <w:szCs w:val="24"/>
          <w:lang w:eastAsia="zh-CN"/>
        </w:rPr>
      </w:pPr>
      <w:r>
        <w:rPr>
          <w:rFonts w:hint="eastAsia" w:ascii="宋体" w:hAnsi="宋体" w:cs="宋体"/>
          <w:b/>
          <w:bCs/>
          <w:sz w:val="28"/>
          <w:szCs w:val="28"/>
        </w:rPr>
        <w:t>一</w:t>
      </w:r>
      <w:r>
        <w:rPr>
          <w:rFonts w:hint="eastAsia" w:ascii="宋体" w:hAnsi="宋体" w:cs="宋体"/>
          <w:b/>
          <w:bCs/>
          <w:sz w:val="28"/>
          <w:szCs w:val="28"/>
          <w:lang w:eastAsia="zh-CN"/>
        </w:rPr>
        <w:t>、</w:t>
      </w:r>
      <w:r>
        <w:rPr>
          <w:rFonts w:hint="eastAsia" w:ascii="宋体" w:hAnsi="宋体" w:cs="宋体"/>
          <w:b/>
          <w:bCs/>
          <w:sz w:val="28"/>
          <w:szCs w:val="28"/>
        </w:rPr>
        <w:t>总则</w:t>
      </w:r>
      <w:r>
        <w:rPr>
          <w:rFonts w:hint="eastAsia" w:ascii="宋体" w:hAnsi="宋体" w:cs="宋体"/>
          <w:b/>
          <w:bCs/>
          <w:sz w:val="28"/>
          <w:szCs w:val="28"/>
          <w:lang w:eastAsia="zh-CN"/>
        </w:rPr>
        <w:t>：列车组主要用于</w:t>
      </w:r>
      <w:r>
        <w:rPr>
          <w:rFonts w:hint="eastAsia" w:ascii="宋体" w:hAnsi="宋体" w:cs="宋体"/>
          <w:b/>
          <w:bCs/>
          <w:sz w:val="28"/>
          <w:szCs w:val="28"/>
          <w:lang w:val="en-US" w:eastAsia="zh-CN"/>
        </w:rPr>
        <w:t>我矿</w:t>
      </w:r>
      <w:r>
        <w:rPr>
          <w:rFonts w:hint="eastAsia" w:ascii="宋体" w:hAnsi="宋体" w:cs="宋体"/>
          <w:b/>
          <w:bCs/>
          <w:sz w:val="28"/>
          <w:szCs w:val="28"/>
          <w:lang w:eastAsia="zh-CN"/>
        </w:rPr>
        <w:t>井下综采工作面，用于安装</w:t>
      </w:r>
      <w:r>
        <w:rPr>
          <w:rFonts w:hint="eastAsia" w:ascii="宋体" w:hAnsi="宋体" w:cs="宋体"/>
          <w:b/>
          <w:bCs/>
          <w:sz w:val="28"/>
          <w:szCs w:val="28"/>
          <w:lang w:val="en-US" w:eastAsia="zh-CN"/>
        </w:rPr>
        <w:t>智能化集控室、</w:t>
      </w:r>
      <w:r>
        <w:rPr>
          <w:rFonts w:hint="eastAsia" w:ascii="宋体" w:hAnsi="宋体" w:cs="宋体"/>
          <w:b/>
          <w:bCs/>
          <w:sz w:val="28"/>
          <w:szCs w:val="28"/>
          <w:lang w:eastAsia="zh-CN"/>
        </w:rPr>
        <w:t>变压器、</w:t>
      </w:r>
      <w:r>
        <w:rPr>
          <w:rFonts w:hint="eastAsia" w:ascii="宋体" w:hAnsi="宋体" w:cs="宋体"/>
          <w:b/>
          <w:bCs/>
          <w:sz w:val="28"/>
          <w:szCs w:val="28"/>
          <w:lang w:val="en-US" w:eastAsia="zh-CN"/>
        </w:rPr>
        <w:t>变频器、信号</w:t>
      </w:r>
      <w:r>
        <w:rPr>
          <w:rFonts w:hint="eastAsia" w:ascii="宋体" w:hAnsi="宋体" w:cs="宋体"/>
          <w:b/>
          <w:bCs/>
          <w:sz w:val="28"/>
          <w:szCs w:val="28"/>
          <w:lang w:eastAsia="zh-CN"/>
        </w:rPr>
        <w:t>综保、</w:t>
      </w:r>
      <w:r>
        <w:rPr>
          <w:rFonts w:hint="eastAsia" w:ascii="宋体" w:hAnsi="宋体" w:cs="宋体"/>
          <w:b/>
          <w:bCs/>
          <w:sz w:val="28"/>
          <w:szCs w:val="28"/>
          <w:lang w:val="en-US" w:eastAsia="zh-CN"/>
        </w:rPr>
        <w:t>组合</w:t>
      </w:r>
      <w:r>
        <w:rPr>
          <w:rFonts w:hint="eastAsia" w:ascii="宋体" w:hAnsi="宋体" w:cs="宋体"/>
          <w:b/>
          <w:bCs/>
          <w:sz w:val="28"/>
          <w:szCs w:val="28"/>
          <w:lang w:eastAsia="zh-CN"/>
        </w:rPr>
        <w:t>开关、</w:t>
      </w:r>
      <w:r>
        <w:rPr>
          <w:rFonts w:hint="eastAsia" w:ascii="宋体" w:hAnsi="宋体" w:cs="宋体"/>
          <w:b/>
          <w:bCs/>
          <w:sz w:val="28"/>
          <w:szCs w:val="28"/>
          <w:lang w:val="en-US" w:eastAsia="zh-CN"/>
        </w:rPr>
        <w:t>备件箱</w:t>
      </w:r>
      <w:r>
        <w:rPr>
          <w:rFonts w:hint="eastAsia" w:ascii="宋体" w:hAnsi="宋体" w:cs="宋体"/>
          <w:b/>
          <w:bCs/>
          <w:sz w:val="28"/>
          <w:szCs w:val="28"/>
          <w:lang w:eastAsia="zh-CN"/>
        </w:rPr>
        <w:t>存放电缆等，采用自移的方式跟随工作面不断向前推进。</w:t>
      </w:r>
    </w:p>
    <w:p>
      <w:pPr>
        <w:tabs>
          <w:tab w:val="left" w:pos="1418"/>
        </w:tabs>
        <w:snapToGrid w:val="0"/>
        <w:spacing w:line="360" w:lineRule="auto"/>
        <w:rPr>
          <w:rFonts w:hint="eastAsia" w:ascii="宋体" w:hAnsi="宋体" w:eastAsia="宋体" w:cs="宋体"/>
          <w:bCs/>
          <w:sz w:val="24"/>
        </w:rPr>
      </w:pPr>
      <w:r>
        <w:rPr>
          <w:rFonts w:hint="eastAsia" w:ascii="宋体" w:hAnsi="宋体" w:eastAsia="宋体" w:cs="宋体"/>
          <w:bCs/>
          <w:sz w:val="24"/>
        </w:rPr>
        <w:t>1、本技术规格书提出了本项目的基本参数和主体结构要求，</w:t>
      </w:r>
      <w:r>
        <w:rPr>
          <w:rFonts w:hint="eastAsia" w:ascii="宋体" w:hAnsi="宋体" w:eastAsia="宋体" w:cs="宋体"/>
          <w:bCs/>
          <w:sz w:val="24"/>
          <w:lang w:val="en-US" w:eastAsia="zh-CN"/>
        </w:rPr>
        <w:t>参标</w:t>
      </w:r>
      <w:r>
        <w:rPr>
          <w:rFonts w:hint="eastAsia" w:ascii="宋体" w:hAnsi="宋体" w:eastAsia="宋体" w:cs="宋体"/>
          <w:bCs/>
          <w:sz w:val="24"/>
        </w:rPr>
        <w:t>方应根据此要求负责对投标设备进行结构详细设计、制造、运输、指导安装和指导调试等。</w:t>
      </w:r>
      <w:r>
        <w:rPr>
          <w:rFonts w:hint="eastAsia" w:ascii="宋体" w:hAnsi="宋体" w:eastAsia="宋体" w:cs="宋体"/>
          <w:bCs/>
          <w:sz w:val="24"/>
          <w:lang w:val="en-US" w:eastAsia="zh-CN"/>
        </w:rPr>
        <w:t xml:space="preserve">                </w:t>
      </w:r>
      <w:r>
        <w:rPr>
          <w:rFonts w:hint="eastAsia" w:ascii="宋体" w:hAnsi="宋体" w:eastAsia="宋体" w:cs="宋体"/>
          <w:bCs/>
          <w:sz w:val="24"/>
        </w:rPr>
        <w:t>2、本技术规格书提出的是范围限度的要求，并未对全部技术细节做出规定，也未充分引述有关规范和条文。</w:t>
      </w:r>
      <w:r>
        <w:rPr>
          <w:rFonts w:hint="eastAsia" w:ascii="宋体" w:hAnsi="宋体" w:eastAsia="宋体" w:cs="宋体"/>
          <w:bCs/>
          <w:sz w:val="24"/>
          <w:lang w:eastAsia="zh-CN"/>
        </w:rPr>
        <w:t>参标方</w:t>
      </w:r>
      <w:r>
        <w:rPr>
          <w:rFonts w:hint="eastAsia" w:ascii="宋体" w:hAnsi="宋体" w:eastAsia="宋体" w:cs="宋体"/>
          <w:bCs/>
          <w:sz w:val="24"/>
        </w:rPr>
        <w:t>保证提供符合本技术规范的相关国际、国内工业</w:t>
      </w:r>
      <w:r>
        <w:rPr>
          <w:rFonts w:hint="eastAsia" w:ascii="宋体" w:hAnsi="宋体" w:eastAsia="宋体" w:cs="宋体"/>
          <w:bCs/>
          <w:sz w:val="24"/>
          <w:lang w:eastAsia="zh-CN"/>
        </w:rPr>
        <w:t>、</w:t>
      </w:r>
      <w:r>
        <w:rPr>
          <w:rFonts w:hint="eastAsia" w:ascii="宋体" w:hAnsi="宋体" w:eastAsia="宋体" w:cs="宋体"/>
          <w:bCs/>
          <w:sz w:val="24"/>
          <w:lang w:val="en-US" w:eastAsia="zh-CN"/>
        </w:rPr>
        <w:t>行业</w:t>
      </w:r>
      <w:r>
        <w:rPr>
          <w:rFonts w:hint="eastAsia" w:ascii="宋体" w:hAnsi="宋体" w:eastAsia="宋体" w:cs="宋体"/>
          <w:bCs/>
          <w:sz w:val="24"/>
        </w:rPr>
        <w:t>标准的优质产品及相关服务。</w:t>
      </w:r>
    </w:p>
    <w:p>
      <w:pPr>
        <w:tabs>
          <w:tab w:val="left" w:pos="1418"/>
        </w:tabs>
        <w:snapToGrid w:val="0"/>
        <w:spacing w:line="360" w:lineRule="auto"/>
        <w:rPr>
          <w:rFonts w:hint="eastAsia" w:ascii="宋体" w:hAnsi="宋体" w:eastAsia="宋体" w:cs="宋体"/>
          <w:bCs/>
          <w:sz w:val="24"/>
        </w:rPr>
      </w:pPr>
      <w:r>
        <w:rPr>
          <w:rFonts w:hint="eastAsia" w:ascii="宋体" w:hAnsi="宋体" w:eastAsia="宋体" w:cs="宋体"/>
          <w:bCs/>
          <w:sz w:val="24"/>
        </w:rPr>
        <w:t>3、</w:t>
      </w:r>
      <w:r>
        <w:rPr>
          <w:rFonts w:hint="eastAsia" w:ascii="宋体" w:hAnsi="宋体" w:eastAsia="宋体" w:cs="宋体"/>
          <w:bCs/>
          <w:sz w:val="24"/>
          <w:lang w:eastAsia="zh-CN"/>
        </w:rPr>
        <w:t>参标方</w:t>
      </w:r>
      <w:r>
        <w:rPr>
          <w:rFonts w:hint="eastAsia" w:ascii="宋体" w:hAnsi="宋体" w:eastAsia="宋体" w:cs="宋体"/>
          <w:bCs/>
          <w:sz w:val="24"/>
        </w:rPr>
        <w:t>必须执行本技术规格书所列标准(但不仅限于此)</w:t>
      </w:r>
      <w:r>
        <w:rPr>
          <w:rFonts w:hint="eastAsia" w:ascii="宋体" w:hAnsi="宋体" w:eastAsia="宋体" w:cs="宋体"/>
          <w:bCs/>
          <w:sz w:val="24"/>
          <w:lang w:eastAsia="zh-CN"/>
        </w:rPr>
        <w:t>，</w:t>
      </w:r>
      <w:r>
        <w:rPr>
          <w:rFonts w:hint="eastAsia" w:ascii="宋体" w:hAnsi="宋体" w:eastAsia="宋体" w:cs="宋体"/>
          <w:bCs/>
          <w:sz w:val="24"/>
        </w:rPr>
        <w:t>在设备详细设计、制造、运输和指导安装过程中所涉及的各项规程、规范和标准必须遵循现行最新版标准。本技术要求所引用的标准若与</w:t>
      </w:r>
      <w:r>
        <w:rPr>
          <w:rFonts w:hint="eastAsia" w:ascii="宋体" w:hAnsi="宋体" w:eastAsia="宋体" w:cs="宋体"/>
          <w:bCs/>
          <w:sz w:val="24"/>
          <w:lang w:eastAsia="zh-CN"/>
        </w:rPr>
        <w:t>参标方</w:t>
      </w:r>
      <w:r>
        <w:rPr>
          <w:rFonts w:hint="eastAsia" w:ascii="宋体" w:hAnsi="宋体" w:eastAsia="宋体" w:cs="宋体"/>
          <w:bCs/>
          <w:sz w:val="24"/>
        </w:rPr>
        <w:t>、矿方所执行的标准发生矛盾时，应按较高标准执行，同时在标书上予以澄清。</w:t>
      </w:r>
    </w:p>
    <w:p>
      <w:pPr>
        <w:tabs>
          <w:tab w:val="left" w:pos="1418"/>
        </w:tabs>
        <w:snapToGrid w:val="0"/>
        <w:spacing w:line="360" w:lineRule="auto"/>
        <w:rPr>
          <w:rFonts w:hint="eastAsia" w:ascii="宋体" w:hAnsi="宋体" w:eastAsia="宋体" w:cs="宋体"/>
          <w:bCs/>
          <w:color w:val="auto"/>
          <w:sz w:val="24"/>
        </w:rPr>
      </w:pPr>
      <w:r>
        <w:rPr>
          <w:rFonts w:hint="eastAsia" w:ascii="宋体" w:hAnsi="宋体" w:eastAsia="宋体" w:cs="宋体"/>
          <w:bCs/>
          <w:sz w:val="24"/>
        </w:rPr>
        <w:t>4、合同</w:t>
      </w:r>
      <w:r>
        <w:rPr>
          <w:rFonts w:hint="eastAsia" w:ascii="宋体" w:hAnsi="宋体" w:eastAsia="宋体" w:cs="宋体"/>
          <w:bCs/>
          <w:sz w:val="24"/>
          <w:highlight w:val="none"/>
        </w:rPr>
        <w:t>签订后，矿方保留对本技术要求提出补充要求和修改的权力，具体项目</w:t>
      </w:r>
      <w:r>
        <w:rPr>
          <w:rFonts w:hint="eastAsia" w:ascii="宋体" w:hAnsi="宋体" w:eastAsia="宋体" w:cs="宋体"/>
          <w:bCs/>
          <w:color w:val="auto"/>
          <w:sz w:val="24"/>
          <w:highlight w:val="none"/>
        </w:rPr>
        <w:t>和条款由中标</w:t>
      </w:r>
      <w:r>
        <w:rPr>
          <w:rFonts w:hint="eastAsia" w:ascii="宋体" w:hAnsi="宋体" w:cs="宋体"/>
          <w:bCs/>
          <w:color w:val="auto"/>
          <w:sz w:val="24"/>
          <w:highlight w:val="none"/>
          <w:lang w:val="en-US" w:eastAsia="zh-CN"/>
        </w:rPr>
        <w:t>方</w:t>
      </w:r>
      <w:r>
        <w:rPr>
          <w:rFonts w:hint="eastAsia" w:ascii="宋体" w:hAnsi="宋体" w:eastAsia="宋体" w:cs="宋体"/>
          <w:bCs/>
          <w:color w:val="auto"/>
          <w:sz w:val="24"/>
          <w:highlight w:val="none"/>
        </w:rPr>
        <w:t>、矿方双方商定，</w:t>
      </w:r>
      <w:r>
        <w:rPr>
          <w:rFonts w:hint="eastAsia" w:ascii="宋体" w:hAnsi="宋体" w:cs="宋体"/>
          <w:bCs/>
          <w:color w:val="auto"/>
          <w:sz w:val="24"/>
          <w:highlight w:val="none"/>
          <w:lang w:val="en-US" w:eastAsia="zh-CN"/>
        </w:rPr>
        <w:t>中</w:t>
      </w:r>
      <w:r>
        <w:rPr>
          <w:rFonts w:hint="eastAsia" w:ascii="宋体" w:hAnsi="宋体" w:eastAsia="宋体" w:cs="宋体"/>
          <w:bCs/>
          <w:color w:val="auto"/>
          <w:sz w:val="24"/>
          <w:highlight w:val="none"/>
        </w:rPr>
        <w:t>标方应予以配合</w:t>
      </w:r>
      <w:r>
        <w:rPr>
          <w:rFonts w:hint="eastAsia" w:ascii="宋体" w:hAnsi="宋体" w:eastAsia="宋体" w:cs="宋体"/>
          <w:bCs/>
          <w:color w:val="auto"/>
          <w:sz w:val="24"/>
        </w:rPr>
        <w:t>。</w:t>
      </w:r>
    </w:p>
    <w:p>
      <w:pPr>
        <w:tabs>
          <w:tab w:val="left" w:pos="1418"/>
        </w:tabs>
        <w:snapToGrid w:val="0"/>
        <w:spacing w:line="360" w:lineRule="auto"/>
        <w:rPr>
          <w:rFonts w:hint="eastAsia" w:ascii="宋体" w:hAnsi="宋体" w:eastAsia="宋体" w:cs="宋体"/>
          <w:bCs/>
          <w:sz w:val="24"/>
        </w:rPr>
      </w:pPr>
      <w:r>
        <w:rPr>
          <w:rFonts w:hint="eastAsia" w:ascii="宋体" w:hAnsi="宋体" w:eastAsia="宋体" w:cs="宋体"/>
          <w:bCs/>
          <w:sz w:val="24"/>
        </w:rPr>
        <w:t>5、</w:t>
      </w:r>
      <w:r>
        <w:rPr>
          <w:rFonts w:hint="eastAsia" w:ascii="宋体" w:hAnsi="宋体" w:eastAsia="宋体" w:cs="宋体"/>
          <w:bCs/>
          <w:sz w:val="24"/>
          <w:lang w:eastAsia="zh-CN"/>
        </w:rPr>
        <w:t>参标方</w:t>
      </w:r>
      <w:r>
        <w:rPr>
          <w:rFonts w:hint="eastAsia" w:ascii="宋体" w:hAnsi="宋体" w:eastAsia="宋体" w:cs="宋体"/>
          <w:bCs/>
          <w:sz w:val="24"/>
        </w:rPr>
        <w:t>所提供的产品(含外购件)必须是满足要求的全新产品。</w:t>
      </w:r>
    </w:p>
    <w:p>
      <w:pPr>
        <w:tabs>
          <w:tab w:val="left" w:pos="1418"/>
        </w:tabs>
        <w:snapToGrid w:val="0"/>
        <w:spacing w:line="360" w:lineRule="auto"/>
        <w:rPr>
          <w:rFonts w:hint="eastAsia" w:ascii="宋体" w:hAnsi="宋体" w:eastAsia="宋体" w:cs="宋体"/>
          <w:bCs/>
          <w:sz w:val="24"/>
        </w:rPr>
      </w:pPr>
      <w:r>
        <w:rPr>
          <w:rFonts w:hint="eastAsia" w:ascii="宋体" w:hAnsi="宋体" w:eastAsia="宋体" w:cs="宋体"/>
          <w:bCs/>
          <w:sz w:val="24"/>
        </w:rPr>
        <w:t>6、</w:t>
      </w:r>
      <w:r>
        <w:rPr>
          <w:rFonts w:hint="eastAsia" w:ascii="宋体" w:hAnsi="宋体" w:eastAsia="宋体" w:cs="宋体"/>
          <w:bCs/>
          <w:sz w:val="24"/>
          <w:lang w:eastAsia="zh-CN"/>
        </w:rPr>
        <w:t>参标方</w:t>
      </w:r>
      <w:r>
        <w:rPr>
          <w:rFonts w:hint="eastAsia" w:ascii="宋体" w:hAnsi="宋体" w:eastAsia="宋体" w:cs="宋体"/>
          <w:bCs/>
          <w:sz w:val="24"/>
        </w:rPr>
        <w:t>所提供的产品(含外购件)应技术先进、价格合理，出厂前应根据行业相关标准规范进行检验，检验合格后方可出厂，并需随产品提供相关检验报告。</w:t>
      </w:r>
    </w:p>
    <w:p>
      <w:pPr>
        <w:tabs>
          <w:tab w:val="left" w:pos="1418"/>
        </w:tabs>
        <w:snapToGrid w:val="0"/>
        <w:spacing w:line="360" w:lineRule="auto"/>
        <w:rPr>
          <w:rFonts w:hint="eastAsia" w:ascii="宋体" w:hAnsi="宋体" w:eastAsia="宋体" w:cs="宋体"/>
          <w:bCs/>
          <w:sz w:val="24"/>
        </w:rPr>
      </w:pPr>
      <w:r>
        <w:rPr>
          <w:rFonts w:hint="eastAsia" w:ascii="宋体" w:hAnsi="宋体" w:eastAsia="宋体" w:cs="宋体"/>
          <w:bCs/>
          <w:sz w:val="24"/>
        </w:rPr>
        <w:t>7、</w:t>
      </w:r>
      <w:r>
        <w:rPr>
          <w:rFonts w:hint="eastAsia" w:ascii="宋体" w:hAnsi="宋体" w:eastAsia="宋体" w:cs="宋体"/>
          <w:bCs/>
          <w:sz w:val="24"/>
          <w:lang w:eastAsia="zh-CN"/>
        </w:rPr>
        <w:t>参标方</w:t>
      </w:r>
      <w:r>
        <w:rPr>
          <w:rFonts w:hint="eastAsia" w:ascii="宋体" w:hAnsi="宋体" w:eastAsia="宋体" w:cs="宋体"/>
          <w:bCs/>
          <w:sz w:val="24"/>
        </w:rPr>
        <w:t>必须按要求及时提供产品的各种技术文件以满足工程设计要求。</w:t>
      </w:r>
    </w:p>
    <w:p>
      <w:pPr>
        <w:tabs>
          <w:tab w:val="left" w:pos="1418"/>
        </w:tabs>
        <w:snapToGrid w:val="0"/>
        <w:spacing w:line="360" w:lineRule="auto"/>
        <w:rPr>
          <w:rFonts w:hint="eastAsia" w:ascii="宋体" w:hAnsi="宋体" w:eastAsia="宋体" w:cs="宋体"/>
          <w:bCs/>
          <w:sz w:val="24"/>
        </w:rPr>
      </w:pPr>
      <w:r>
        <w:rPr>
          <w:rFonts w:hint="eastAsia" w:ascii="宋体" w:hAnsi="宋体" w:eastAsia="宋体" w:cs="宋体"/>
          <w:bCs/>
          <w:sz w:val="24"/>
        </w:rPr>
        <w:t>8、矿方不承担有关设备专利的一切费用和责任。</w:t>
      </w:r>
    </w:p>
    <w:p>
      <w:pPr>
        <w:tabs>
          <w:tab w:val="left" w:pos="1418"/>
        </w:tabs>
        <w:snapToGrid w:val="0"/>
        <w:spacing w:line="360" w:lineRule="auto"/>
        <w:rPr>
          <w:rFonts w:hint="eastAsia" w:ascii="宋体" w:hAnsi="宋体" w:eastAsia="宋体" w:cs="宋体"/>
          <w:bCs/>
          <w:sz w:val="24"/>
        </w:rPr>
      </w:pPr>
      <w:r>
        <w:rPr>
          <w:rFonts w:hint="eastAsia" w:ascii="宋体" w:hAnsi="宋体" w:eastAsia="宋体" w:cs="宋体"/>
          <w:bCs/>
          <w:sz w:val="24"/>
        </w:rPr>
        <w:t>9、</w:t>
      </w:r>
      <w:r>
        <w:rPr>
          <w:rFonts w:hint="eastAsia" w:ascii="宋体" w:hAnsi="宋体" w:eastAsia="宋体" w:cs="宋体"/>
          <w:bCs/>
          <w:sz w:val="24"/>
          <w:lang w:eastAsia="zh-CN"/>
        </w:rPr>
        <w:t>参标方</w:t>
      </w:r>
      <w:r>
        <w:rPr>
          <w:rFonts w:hint="eastAsia" w:ascii="宋体" w:hAnsi="宋体" w:eastAsia="宋体" w:cs="宋体"/>
          <w:bCs/>
          <w:sz w:val="24"/>
        </w:rPr>
        <w:t>提供的产品必须满足本规格书对性能保证的要求，并提供良好的技术指导服务，包含现场指导安装、指导调试及后期的售后服务。</w:t>
      </w:r>
    </w:p>
    <w:p>
      <w:pPr>
        <w:tabs>
          <w:tab w:val="left" w:pos="1418"/>
        </w:tabs>
        <w:snapToGrid w:val="0"/>
        <w:spacing w:line="360" w:lineRule="auto"/>
        <w:rPr>
          <w:rFonts w:hint="eastAsia" w:ascii="宋体" w:hAnsi="宋体" w:eastAsia="宋体" w:cs="宋体"/>
          <w:bCs/>
          <w:sz w:val="24"/>
        </w:rPr>
      </w:pPr>
      <w:r>
        <w:rPr>
          <w:rFonts w:hint="eastAsia" w:ascii="宋体" w:hAnsi="宋体" w:eastAsia="宋体" w:cs="宋体"/>
          <w:bCs/>
          <w:sz w:val="24"/>
        </w:rPr>
        <w:t>1</w:t>
      </w:r>
      <w:r>
        <w:rPr>
          <w:rFonts w:hint="eastAsia" w:ascii="宋体" w:hAnsi="宋体" w:cs="宋体"/>
          <w:bCs/>
          <w:sz w:val="24"/>
          <w:lang w:val="en-US" w:eastAsia="zh-CN"/>
        </w:rPr>
        <w:t>0</w:t>
      </w:r>
      <w:r>
        <w:rPr>
          <w:rFonts w:hint="eastAsia" w:ascii="宋体" w:hAnsi="宋体" w:eastAsia="宋体" w:cs="宋体"/>
          <w:bCs/>
          <w:sz w:val="24"/>
        </w:rPr>
        <w:t>、最大不可拆卸尺寸及重量：设备最大不可拆卸件几何尺寸（长× 宽× 高）</w:t>
      </w:r>
      <w:bookmarkStart w:id="0" w:name="_Hlk142059444"/>
      <w:r>
        <w:rPr>
          <w:rFonts w:hint="eastAsia" w:ascii="宋体" w:hAnsi="宋体" w:eastAsia="宋体" w:cs="宋体"/>
          <w:bCs/>
          <w:sz w:val="24"/>
        </w:rPr>
        <w:t>＜</w:t>
      </w:r>
      <w:bookmarkEnd w:id="0"/>
      <w:r>
        <w:rPr>
          <w:rFonts w:hint="eastAsia" w:ascii="宋体" w:hAnsi="宋体" w:eastAsia="宋体" w:cs="宋体"/>
          <w:bCs/>
          <w:sz w:val="24"/>
          <w:lang w:val="en-US" w:eastAsia="zh-CN"/>
        </w:rPr>
        <w:t>4</w:t>
      </w:r>
      <w:r>
        <w:rPr>
          <w:rFonts w:hint="eastAsia" w:ascii="宋体" w:hAnsi="宋体" w:eastAsia="宋体" w:cs="宋体"/>
          <w:bCs/>
          <w:sz w:val="24"/>
        </w:rPr>
        <w:t>000×2</w:t>
      </w:r>
      <w:r>
        <w:rPr>
          <w:rFonts w:hint="eastAsia" w:ascii="宋体" w:hAnsi="宋体" w:eastAsia="宋体" w:cs="宋体"/>
          <w:bCs/>
          <w:sz w:val="24"/>
          <w:lang w:val="en-US" w:eastAsia="zh-CN"/>
        </w:rPr>
        <w:t>0</w:t>
      </w:r>
      <w:r>
        <w:rPr>
          <w:rFonts w:hint="eastAsia" w:ascii="宋体" w:hAnsi="宋体" w:eastAsia="宋体" w:cs="宋体"/>
          <w:bCs/>
          <w:sz w:val="24"/>
        </w:rPr>
        <w:t>00×1</w:t>
      </w:r>
      <w:r>
        <w:rPr>
          <w:rFonts w:hint="eastAsia" w:ascii="宋体" w:hAnsi="宋体" w:eastAsia="宋体" w:cs="宋体"/>
          <w:bCs/>
          <w:sz w:val="24"/>
          <w:lang w:val="en-US" w:eastAsia="zh-CN"/>
        </w:rPr>
        <w:t>1</w:t>
      </w:r>
      <w:r>
        <w:rPr>
          <w:rFonts w:hint="eastAsia" w:ascii="宋体" w:hAnsi="宋体" w:eastAsia="宋体" w:cs="宋体"/>
          <w:bCs/>
          <w:sz w:val="24"/>
        </w:rPr>
        <w:t>00mm，允许下井最大单件重量≤6t</w:t>
      </w:r>
      <w:r>
        <w:rPr>
          <w:rFonts w:hint="eastAsia" w:ascii="宋体" w:hAnsi="宋体" w:cs="宋体"/>
          <w:bCs/>
          <w:sz w:val="24"/>
          <w:lang w:eastAsia="zh-CN"/>
        </w:rPr>
        <w:t>。</w:t>
      </w:r>
      <w:r>
        <w:rPr>
          <w:rFonts w:hint="eastAsia" w:ascii="宋体" w:hAnsi="宋体" w:eastAsia="宋体" w:cs="宋体"/>
          <w:bCs/>
          <w:sz w:val="24"/>
        </w:rPr>
        <w:t>（如有出入须与矿方沟通）</w:t>
      </w:r>
    </w:p>
    <w:p>
      <w:pPr>
        <w:rPr>
          <w:rFonts w:hint="eastAsia" w:ascii="宋体" w:hAnsi="宋体" w:cs="宋体"/>
          <w:sz w:val="24"/>
          <w:szCs w:val="24"/>
        </w:rPr>
      </w:pPr>
    </w:p>
    <w:p>
      <w:pPr>
        <w:pStyle w:val="10"/>
        <w:ind w:left="0" w:leftChars="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二、设计制造执行标准：可以高于或相当于此标准不可低于此标准</w:t>
      </w:r>
    </w:p>
    <w:p>
      <w:pPr>
        <w:spacing w:line="360" w:lineRule="auto"/>
        <w:ind w:firstLine="424" w:firstLineChars="177"/>
        <w:rPr>
          <w:rFonts w:hint="eastAsia" w:ascii="宋体" w:hAnsi="宋体" w:eastAsia="宋体" w:cs="宋体"/>
          <w:sz w:val="24"/>
        </w:rPr>
      </w:pPr>
      <w:r>
        <w:rPr>
          <w:rFonts w:hint="eastAsia" w:ascii="宋体" w:hAnsi="宋体" w:eastAsia="宋体" w:cs="宋体"/>
          <w:sz w:val="24"/>
        </w:rPr>
        <w:t>202</w:t>
      </w:r>
      <w:r>
        <w:rPr>
          <w:rFonts w:hint="eastAsia" w:ascii="宋体" w:hAnsi="宋体" w:cs="宋体"/>
          <w:sz w:val="24"/>
          <w:lang w:val="en-US" w:eastAsia="zh-CN"/>
        </w:rPr>
        <w:t>2</w:t>
      </w:r>
      <w:r>
        <w:rPr>
          <w:rFonts w:hint="eastAsia" w:ascii="宋体" w:hAnsi="宋体" w:eastAsia="宋体" w:cs="宋体"/>
          <w:sz w:val="24"/>
        </w:rPr>
        <w:t>版《煤矿安全规程》</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AQ1043-2007 矿用产品安全标志标识</w:t>
      </w:r>
    </w:p>
    <w:p>
      <w:pPr>
        <w:spacing w:line="360" w:lineRule="auto"/>
        <w:ind w:firstLine="424" w:firstLineChars="177"/>
        <w:rPr>
          <w:rFonts w:hint="eastAsia" w:ascii="宋体" w:hAnsi="宋体" w:eastAsia="宋体" w:cs="宋体"/>
          <w:sz w:val="24"/>
        </w:rPr>
      </w:pPr>
      <w:r>
        <w:rPr>
          <w:rFonts w:hint="eastAsia" w:ascii="宋体" w:hAnsi="宋体" w:eastAsia="宋体" w:cs="宋体"/>
          <w:sz w:val="24"/>
        </w:rPr>
        <w:t>JB/T 6992 窄轨矿车通用技术条件</w:t>
      </w:r>
    </w:p>
    <w:p>
      <w:pPr>
        <w:spacing w:line="360" w:lineRule="auto"/>
        <w:ind w:firstLine="424" w:firstLineChars="177"/>
        <w:rPr>
          <w:rFonts w:hint="eastAsia" w:ascii="宋体" w:hAnsi="宋体" w:eastAsia="宋体" w:cs="宋体"/>
          <w:sz w:val="24"/>
        </w:rPr>
      </w:pPr>
      <w:r>
        <w:rPr>
          <w:rFonts w:hint="eastAsia" w:ascii="宋体" w:hAnsi="宋体" w:eastAsia="宋体" w:cs="宋体"/>
          <w:sz w:val="24"/>
        </w:rPr>
        <w:t>GB/T 4695 窄轨机车车辆 车轮踏面及形状尺寸</w:t>
      </w:r>
    </w:p>
    <w:p>
      <w:pPr>
        <w:spacing w:line="360" w:lineRule="auto"/>
        <w:ind w:firstLine="424" w:firstLineChars="177"/>
        <w:rPr>
          <w:rFonts w:hint="eastAsia" w:ascii="宋体" w:hAnsi="宋体" w:eastAsia="宋体" w:cs="宋体"/>
          <w:sz w:val="24"/>
        </w:rPr>
      </w:pPr>
      <w:r>
        <w:rPr>
          <w:rFonts w:hint="eastAsia" w:ascii="宋体" w:hAnsi="宋体" w:eastAsia="宋体" w:cs="宋体"/>
          <w:sz w:val="24"/>
        </w:rPr>
        <w:t>GB/T 13306 标牌</w:t>
      </w:r>
    </w:p>
    <w:p>
      <w:pPr>
        <w:spacing w:line="360" w:lineRule="auto"/>
        <w:ind w:firstLine="424" w:firstLineChars="177"/>
        <w:rPr>
          <w:rFonts w:ascii="宋体" w:hAnsi="宋体" w:cs="宋体"/>
          <w:sz w:val="24"/>
          <w:szCs w:val="24"/>
        </w:rPr>
      </w:pPr>
      <w:r>
        <w:rPr>
          <w:rFonts w:hint="eastAsia" w:ascii="宋体" w:hAnsi="宋体" w:cs="宋体"/>
          <w:sz w:val="24"/>
          <w:szCs w:val="24"/>
        </w:rPr>
        <w:t xml:space="preserve">GB 3322.4-1982  煤矿矿车—平板车基本参数及尺寸标准    </w:t>
      </w:r>
    </w:p>
    <w:p>
      <w:pPr>
        <w:spacing w:line="360" w:lineRule="auto"/>
        <w:ind w:firstLine="424" w:firstLineChars="177"/>
        <w:rPr>
          <w:rFonts w:ascii="宋体" w:hAnsi="宋体" w:cs="宋体"/>
          <w:sz w:val="24"/>
          <w:szCs w:val="24"/>
        </w:rPr>
      </w:pPr>
      <w:r>
        <w:rPr>
          <w:rFonts w:hint="eastAsia" w:ascii="宋体" w:hAnsi="宋体" w:cs="宋体"/>
          <w:sz w:val="24"/>
          <w:szCs w:val="24"/>
        </w:rPr>
        <w:t>MT 387-2007 煤矿窄轨矿车安全性测定方法和判定规则</w:t>
      </w:r>
    </w:p>
    <w:p>
      <w:pPr>
        <w:spacing w:line="360" w:lineRule="auto"/>
        <w:ind w:firstLine="424" w:firstLineChars="177"/>
        <w:rPr>
          <w:rFonts w:ascii="宋体" w:hAnsi="宋体" w:cs="宋体"/>
          <w:sz w:val="24"/>
          <w:szCs w:val="24"/>
        </w:rPr>
      </w:pPr>
      <w:r>
        <w:rPr>
          <w:rFonts w:hint="eastAsia" w:ascii="宋体" w:hAnsi="宋体" w:cs="宋体"/>
          <w:sz w:val="24"/>
          <w:szCs w:val="24"/>
        </w:rPr>
        <w:t>JB/T 8296 矿山窄轨车辆 开式轮对</w:t>
      </w:r>
    </w:p>
    <w:p>
      <w:pPr>
        <w:spacing w:line="360" w:lineRule="auto"/>
        <w:ind w:firstLine="424" w:firstLineChars="177"/>
        <w:rPr>
          <w:rFonts w:ascii="宋体" w:hAnsi="宋体" w:cs="宋体"/>
          <w:sz w:val="24"/>
          <w:szCs w:val="24"/>
        </w:rPr>
      </w:pPr>
      <w:r>
        <w:rPr>
          <w:rFonts w:hint="eastAsia" w:ascii="宋体" w:hAnsi="宋体" w:cs="宋体"/>
          <w:sz w:val="24"/>
          <w:szCs w:val="24"/>
        </w:rPr>
        <w:t>MT 244.1 煤矿窄轨车辆连接件 连接链</w:t>
      </w:r>
    </w:p>
    <w:p>
      <w:pPr>
        <w:spacing w:line="360" w:lineRule="auto"/>
        <w:ind w:firstLine="424" w:firstLineChars="177"/>
        <w:rPr>
          <w:rFonts w:ascii="宋体" w:hAnsi="宋体" w:cs="宋体"/>
          <w:sz w:val="24"/>
          <w:szCs w:val="24"/>
        </w:rPr>
      </w:pPr>
      <w:r>
        <w:rPr>
          <w:rFonts w:hint="eastAsia" w:ascii="宋体" w:hAnsi="宋体" w:cs="宋体"/>
          <w:sz w:val="24"/>
          <w:szCs w:val="24"/>
        </w:rPr>
        <w:t>MT 244.1 煤矿窄轨车辆连接件 连接插销</w:t>
      </w:r>
    </w:p>
    <w:p>
      <w:pPr>
        <w:spacing w:line="360" w:lineRule="auto"/>
        <w:ind w:firstLine="480" w:firstLineChars="200"/>
        <w:rPr>
          <w:rFonts w:ascii="宋体" w:hAnsi="宋体" w:cs="宋体"/>
          <w:sz w:val="24"/>
          <w:szCs w:val="24"/>
        </w:rPr>
      </w:pPr>
      <w:r>
        <w:rPr>
          <w:rFonts w:hint="eastAsia" w:ascii="宋体" w:hAnsi="宋体" w:cs="宋体"/>
          <w:sz w:val="24"/>
          <w:szCs w:val="24"/>
        </w:rPr>
        <w:t>GB 985 气焊、手工电弧焊及气体保护焊焊缝破口的基本形式及尺寸</w:t>
      </w:r>
    </w:p>
    <w:p>
      <w:pPr>
        <w:spacing w:line="360" w:lineRule="auto"/>
        <w:ind w:firstLine="424" w:firstLineChars="177"/>
        <w:rPr>
          <w:rFonts w:ascii="宋体" w:hAnsi="宋体" w:cs="宋体"/>
          <w:sz w:val="24"/>
          <w:szCs w:val="24"/>
        </w:rPr>
      </w:pPr>
      <w:r>
        <w:rPr>
          <w:rFonts w:hint="eastAsia" w:ascii="宋体" w:hAnsi="宋体" w:cs="宋体"/>
          <w:sz w:val="24"/>
          <w:szCs w:val="24"/>
        </w:rPr>
        <w:t>GB 1184 形状和位置公差 未注公差的规定</w:t>
      </w:r>
    </w:p>
    <w:p>
      <w:pPr>
        <w:spacing w:line="360" w:lineRule="auto"/>
        <w:ind w:firstLine="424" w:firstLineChars="177"/>
        <w:rPr>
          <w:rFonts w:ascii="宋体" w:hAnsi="宋体" w:cs="宋体"/>
          <w:sz w:val="24"/>
          <w:szCs w:val="24"/>
        </w:rPr>
      </w:pPr>
      <w:r>
        <w:rPr>
          <w:rFonts w:hint="eastAsia" w:ascii="宋体" w:hAnsi="宋体" w:cs="宋体"/>
          <w:sz w:val="24"/>
          <w:szCs w:val="24"/>
        </w:rPr>
        <w:t>GB/T 1804 一般公差 线性尺寸的未注公差</w:t>
      </w:r>
    </w:p>
    <w:p>
      <w:pPr>
        <w:spacing w:line="360" w:lineRule="auto"/>
        <w:ind w:firstLine="424" w:firstLineChars="177"/>
        <w:rPr>
          <w:rFonts w:ascii="宋体" w:hAnsi="宋体" w:cs="宋体"/>
          <w:sz w:val="24"/>
          <w:szCs w:val="24"/>
        </w:rPr>
      </w:pPr>
      <w:r>
        <w:rPr>
          <w:rFonts w:hint="eastAsia" w:ascii="宋体" w:hAnsi="宋体" w:cs="宋体"/>
          <w:sz w:val="24"/>
          <w:szCs w:val="24"/>
        </w:rPr>
        <w:t>GB 10854 钢结构焊缝外形尺寸</w:t>
      </w:r>
    </w:p>
    <w:p>
      <w:pPr>
        <w:spacing w:line="360" w:lineRule="auto"/>
        <w:ind w:firstLine="424" w:firstLineChars="177"/>
        <w:rPr>
          <w:rFonts w:ascii="宋体" w:hAnsi="宋体" w:cs="宋体"/>
          <w:sz w:val="24"/>
          <w:szCs w:val="24"/>
        </w:rPr>
      </w:pPr>
      <w:r>
        <w:rPr>
          <w:rFonts w:hint="eastAsia" w:ascii="宋体" w:hAnsi="宋体" w:cs="宋体"/>
          <w:sz w:val="24"/>
          <w:szCs w:val="24"/>
        </w:rPr>
        <w:t>GB/T 3766-2001 液压系统通用技术条件</w:t>
      </w:r>
    </w:p>
    <w:p>
      <w:pPr>
        <w:spacing w:line="360" w:lineRule="auto"/>
        <w:ind w:firstLine="424" w:firstLineChars="177"/>
        <w:rPr>
          <w:rFonts w:ascii="宋体" w:hAnsi="宋体" w:cs="宋体"/>
          <w:sz w:val="24"/>
          <w:szCs w:val="24"/>
        </w:rPr>
      </w:pPr>
      <w:r>
        <w:rPr>
          <w:rFonts w:hint="eastAsia" w:ascii="宋体" w:hAnsi="宋体" w:cs="宋体"/>
          <w:sz w:val="24"/>
          <w:szCs w:val="24"/>
        </w:rPr>
        <w:t>MT/T 986-2006 矿用U型销式快速接头及附件</w:t>
      </w:r>
    </w:p>
    <w:p>
      <w:pPr>
        <w:spacing w:line="360" w:lineRule="auto"/>
        <w:ind w:firstLine="424" w:firstLineChars="177"/>
        <w:rPr>
          <w:rFonts w:hint="default" w:ascii="宋体" w:hAnsi="宋体" w:eastAsia="宋体" w:cs="宋体"/>
          <w:kern w:val="2"/>
          <w:sz w:val="24"/>
          <w:szCs w:val="24"/>
          <w:lang w:val="en-US" w:eastAsia="zh-CN" w:bidi="ar-SA"/>
        </w:rPr>
      </w:pPr>
      <w:r>
        <w:rPr>
          <w:rFonts w:hint="eastAsia" w:ascii="宋体" w:hAnsi="宋体" w:cs="宋体"/>
          <w:sz w:val="24"/>
          <w:szCs w:val="24"/>
        </w:rPr>
        <w:t>GB 25974.2-2010 立柱和油缸技术条件</w:t>
      </w:r>
    </w:p>
    <w:p>
      <w:pPr>
        <w:outlineLvl w:val="0"/>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三、</w:t>
      </w:r>
      <w:r>
        <w:rPr>
          <w:rFonts w:hint="eastAsia" w:ascii="宋体" w:hAnsi="宋体" w:cs="宋体"/>
          <w:b/>
          <w:bCs/>
          <w:sz w:val="28"/>
          <w:szCs w:val="28"/>
        </w:rPr>
        <w:t>供货清单</w:t>
      </w:r>
      <w:r>
        <w:rPr>
          <w:rFonts w:hint="eastAsia" w:ascii="宋体" w:hAnsi="宋体" w:cs="宋体"/>
          <w:b/>
          <w:bCs/>
          <w:sz w:val="28"/>
          <w:szCs w:val="28"/>
          <w:lang w:eastAsia="zh-CN"/>
        </w:rPr>
        <w:t>（</w:t>
      </w:r>
      <w:r>
        <w:rPr>
          <w:rFonts w:hint="eastAsia" w:ascii="宋体" w:hAnsi="宋体" w:cs="宋体"/>
          <w:b/>
          <w:bCs/>
          <w:sz w:val="28"/>
          <w:szCs w:val="28"/>
          <w:lang w:val="en-US" w:eastAsia="zh-CN"/>
        </w:rPr>
        <w:t>参考</w:t>
      </w:r>
      <w:r>
        <w:rPr>
          <w:rFonts w:hint="eastAsia" w:ascii="宋体" w:hAnsi="宋体" w:cs="宋体"/>
          <w:b/>
          <w:bCs/>
          <w:sz w:val="28"/>
          <w:szCs w:val="28"/>
          <w:lang w:eastAsia="zh-CN"/>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890"/>
        <w:gridCol w:w="2550"/>
        <w:gridCol w:w="422"/>
        <w:gridCol w:w="587"/>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pct"/>
            <w:vAlign w:val="center"/>
          </w:tcPr>
          <w:p>
            <w:pPr>
              <w:spacing w:line="360" w:lineRule="auto"/>
              <w:jc w:val="center"/>
              <w:rPr>
                <w:rFonts w:ascii="宋体" w:hAnsi="宋体" w:cs="宋体"/>
                <w:sz w:val="24"/>
              </w:rPr>
            </w:pPr>
            <w:r>
              <w:rPr>
                <w:rFonts w:hint="eastAsia" w:ascii="宋体" w:hAnsi="宋体" w:cs="宋体"/>
                <w:sz w:val="24"/>
              </w:rPr>
              <w:t>序号</w:t>
            </w:r>
          </w:p>
        </w:tc>
        <w:tc>
          <w:tcPr>
            <w:tcW w:w="1108" w:type="pct"/>
            <w:vAlign w:val="center"/>
          </w:tcPr>
          <w:p>
            <w:pPr>
              <w:spacing w:line="360" w:lineRule="auto"/>
              <w:jc w:val="center"/>
              <w:rPr>
                <w:rFonts w:ascii="宋体" w:hAnsi="宋体" w:cs="宋体"/>
                <w:sz w:val="24"/>
              </w:rPr>
            </w:pPr>
            <w:r>
              <w:rPr>
                <w:rFonts w:hint="eastAsia" w:ascii="宋体" w:hAnsi="宋体" w:cs="宋体"/>
                <w:sz w:val="24"/>
              </w:rPr>
              <w:t>项  目</w:t>
            </w:r>
          </w:p>
        </w:tc>
        <w:tc>
          <w:tcPr>
            <w:tcW w:w="1496" w:type="pct"/>
            <w:vAlign w:val="center"/>
          </w:tcPr>
          <w:p>
            <w:pPr>
              <w:spacing w:line="360" w:lineRule="auto"/>
              <w:jc w:val="center"/>
              <w:rPr>
                <w:rFonts w:ascii="宋体" w:hAnsi="宋体" w:cs="宋体"/>
                <w:sz w:val="24"/>
              </w:rPr>
            </w:pPr>
            <w:r>
              <w:rPr>
                <w:rFonts w:hint="eastAsia" w:ascii="宋体" w:hAnsi="宋体" w:cs="宋体"/>
                <w:sz w:val="24"/>
                <w:lang w:val="en-US" w:eastAsia="zh-CN"/>
              </w:rPr>
              <w:t>参考</w:t>
            </w:r>
            <w:r>
              <w:rPr>
                <w:rFonts w:hint="eastAsia" w:ascii="宋体" w:hAnsi="宋体" w:cs="宋体"/>
                <w:sz w:val="24"/>
              </w:rPr>
              <w:t>规格型号</w:t>
            </w:r>
          </w:p>
        </w:tc>
        <w:tc>
          <w:tcPr>
            <w:tcW w:w="247" w:type="pct"/>
            <w:vAlign w:val="center"/>
          </w:tcPr>
          <w:p>
            <w:pPr>
              <w:spacing w:line="360" w:lineRule="auto"/>
              <w:jc w:val="center"/>
              <w:rPr>
                <w:rFonts w:ascii="宋体" w:hAnsi="宋体" w:cs="宋体"/>
                <w:sz w:val="24"/>
              </w:rPr>
            </w:pPr>
            <w:r>
              <w:rPr>
                <w:rFonts w:hint="eastAsia" w:ascii="宋体" w:hAnsi="宋体" w:cs="宋体"/>
                <w:sz w:val="24"/>
              </w:rPr>
              <w:t>单位</w:t>
            </w:r>
          </w:p>
        </w:tc>
        <w:tc>
          <w:tcPr>
            <w:tcW w:w="344" w:type="pct"/>
            <w:vAlign w:val="center"/>
          </w:tcPr>
          <w:p>
            <w:pPr>
              <w:spacing w:line="360" w:lineRule="auto"/>
              <w:jc w:val="center"/>
              <w:rPr>
                <w:rFonts w:ascii="宋体" w:hAnsi="宋体" w:cs="宋体"/>
                <w:sz w:val="24"/>
              </w:rPr>
            </w:pPr>
            <w:r>
              <w:rPr>
                <w:rFonts w:hint="eastAsia" w:ascii="宋体" w:hAnsi="宋体" w:cs="宋体"/>
                <w:sz w:val="24"/>
              </w:rPr>
              <w:t>数量</w:t>
            </w:r>
          </w:p>
        </w:tc>
        <w:tc>
          <w:tcPr>
            <w:tcW w:w="1439" w:type="pct"/>
            <w:vAlign w:val="center"/>
          </w:tcPr>
          <w:p>
            <w:pPr>
              <w:spacing w:line="360" w:lineRule="auto"/>
              <w:jc w:val="center"/>
              <w:rPr>
                <w:rFonts w:ascii="宋体" w:hAnsi="宋体" w:cs="宋体"/>
                <w:sz w:val="24"/>
              </w:rPr>
            </w:pPr>
            <w:r>
              <w:rPr>
                <w:rFonts w:hint="eastAsia" w:ascii="宋体" w:hAnsi="宋体" w:cs="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63" w:type="pct"/>
            <w:vAlign w:val="center"/>
          </w:tcPr>
          <w:p>
            <w:pPr>
              <w:spacing w:line="360" w:lineRule="auto"/>
              <w:jc w:val="center"/>
              <w:rPr>
                <w:rFonts w:ascii="宋体" w:hAnsi="宋体" w:cs="宋体"/>
                <w:sz w:val="24"/>
              </w:rPr>
            </w:pPr>
            <w:r>
              <w:rPr>
                <w:rFonts w:hint="eastAsia" w:ascii="宋体" w:hAnsi="宋体" w:cs="宋体"/>
                <w:sz w:val="24"/>
              </w:rPr>
              <w:t>1</w:t>
            </w:r>
          </w:p>
        </w:tc>
        <w:tc>
          <w:tcPr>
            <w:tcW w:w="1108" w:type="pct"/>
            <w:vAlign w:val="center"/>
          </w:tcPr>
          <w:p>
            <w:pPr>
              <w:jc w:val="center"/>
              <w:rPr>
                <w:rFonts w:ascii="宋体" w:hAnsi="宋体" w:cs="宋体"/>
                <w:color w:val="000000"/>
                <w:sz w:val="24"/>
              </w:rPr>
            </w:pPr>
            <w:r>
              <w:rPr>
                <w:rFonts w:hint="eastAsia" w:ascii="宋体" w:hAnsi="宋体" w:cs="宋体"/>
                <w:sz w:val="24"/>
              </w:rPr>
              <w:t>矿用电控液压移动列车组</w:t>
            </w:r>
          </w:p>
        </w:tc>
        <w:tc>
          <w:tcPr>
            <w:tcW w:w="1496" w:type="pct"/>
            <w:vAlign w:val="center"/>
          </w:tcPr>
          <w:p>
            <w:pPr>
              <w:spacing w:line="360" w:lineRule="auto"/>
              <w:ind w:firstLine="240" w:firstLineChars="100"/>
              <w:jc w:val="both"/>
              <w:rPr>
                <w:rFonts w:hint="default" w:ascii="宋体" w:hAnsi="宋体" w:eastAsia="宋体" w:cs="宋体"/>
                <w:sz w:val="24"/>
                <w:lang w:val="en-US" w:eastAsia="zh-CN"/>
              </w:rPr>
            </w:pPr>
          </w:p>
        </w:tc>
        <w:tc>
          <w:tcPr>
            <w:tcW w:w="247" w:type="pct"/>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套</w:t>
            </w:r>
          </w:p>
        </w:tc>
        <w:tc>
          <w:tcPr>
            <w:tcW w:w="344" w:type="pct"/>
            <w:vAlign w:val="center"/>
          </w:tcPr>
          <w:p>
            <w:pPr>
              <w:spacing w:line="360" w:lineRule="auto"/>
              <w:jc w:val="center"/>
              <w:rPr>
                <w:rFonts w:ascii="宋体" w:hAnsi="宋体" w:cs="宋体"/>
                <w:sz w:val="24"/>
              </w:rPr>
            </w:pPr>
            <w:r>
              <w:rPr>
                <w:rFonts w:hint="eastAsia" w:ascii="宋体" w:hAnsi="宋体" w:cs="宋体"/>
                <w:sz w:val="24"/>
              </w:rPr>
              <w:t>1</w:t>
            </w:r>
          </w:p>
        </w:tc>
        <w:tc>
          <w:tcPr>
            <w:tcW w:w="1439" w:type="pct"/>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单车载重</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pct"/>
            <w:vAlign w:val="center"/>
          </w:tcPr>
          <w:p>
            <w:pPr>
              <w:spacing w:line="360" w:lineRule="auto"/>
              <w:jc w:val="center"/>
              <w:rPr>
                <w:rFonts w:ascii="宋体" w:hAnsi="宋体" w:cs="宋体"/>
                <w:sz w:val="24"/>
              </w:rPr>
            </w:pPr>
            <w:r>
              <w:rPr>
                <w:rFonts w:hint="eastAsia" w:ascii="宋体" w:hAnsi="宋体" w:cs="宋体"/>
                <w:sz w:val="24"/>
              </w:rPr>
              <w:t>1.1</w:t>
            </w:r>
          </w:p>
        </w:tc>
        <w:tc>
          <w:tcPr>
            <w:tcW w:w="1108" w:type="pct"/>
            <w:vAlign w:val="center"/>
          </w:tcPr>
          <w:p>
            <w:pPr>
              <w:jc w:val="center"/>
              <w:rPr>
                <w:rFonts w:ascii="宋体" w:hAnsi="宋体" w:cs="宋体"/>
                <w:sz w:val="24"/>
              </w:rPr>
            </w:pPr>
            <w:r>
              <w:rPr>
                <w:rFonts w:hint="eastAsia" w:ascii="宋体" w:hAnsi="宋体" w:cs="宋体"/>
                <w:sz w:val="24"/>
              </w:rPr>
              <w:t>矿用电控液压移动列车组单车</w:t>
            </w:r>
          </w:p>
        </w:tc>
        <w:tc>
          <w:tcPr>
            <w:tcW w:w="1496" w:type="pct"/>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36"/>
                <w:lang w:val="en-US"/>
              </w:rPr>
            </w:pPr>
            <w:r>
              <w:rPr>
                <w:rFonts w:hint="eastAsia" w:ascii="宋体" w:hAnsi="宋体" w:eastAsia="宋体" w:cs="宋体"/>
                <w:sz w:val="24"/>
                <w:lang w:val="en-US" w:eastAsia="zh-CN"/>
              </w:rPr>
              <w:t>3500</w:t>
            </w:r>
            <w:r>
              <w:rPr>
                <w:rFonts w:hint="default" w:ascii="宋体" w:hAnsi="宋体" w:eastAsia="宋体" w:cs="宋体"/>
                <w:sz w:val="24"/>
                <w:lang w:val="en-US" w:eastAsia="zh-CN"/>
              </w:rPr>
              <w:t>×</w:t>
            </w:r>
            <w:r>
              <w:rPr>
                <w:rFonts w:hint="eastAsia" w:ascii="宋体" w:hAnsi="宋体" w:eastAsia="宋体" w:cs="宋体"/>
                <w:sz w:val="24"/>
                <w:lang w:val="en-US" w:eastAsia="zh-CN"/>
              </w:rPr>
              <w:t>1300</w:t>
            </w:r>
            <w:r>
              <w:rPr>
                <w:rFonts w:hint="default" w:ascii="宋体" w:hAnsi="宋体" w:eastAsia="宋体" w:cs="宋体"/>
                <w:sz w:val="24"/>
                <w:lang w:val="en-US" w:eastAsia="zh-CN"/>
              </w:rPr>
              <w:t>×≤</w:t>
            </w:r>
            <w:r>
              <w:rPr>
                <w:rFonts w:hint="eastAsia" w:ascii="宋体" w:hAnsi="宋体" w:eastAsia="宋体" w:cs="宋体"/>
                <w:sz w:val="24"/>
                <w:lang w:val="en-US" w:eastAsia="zh-CN"/>
              </w:rPr>
              <w:t>400</w:t>
            </w:r>
            <w:r>
              <w:rPr>
                <w:rFonts w:hint="eastAsia" w:ascii="宋体" w:hAnsi="宋体" w:cs="宋体"/>
                <w:sz w:val="24"/>
                <w:lang w:val="en-US" w:eastAsia="zh-CN"/>
              </w:rPr>
              <w:t>mm</w:t>
            </w:r>
          </w:p>
          <w:p>
            <w:pPr>
              <w:spacing w:line="360" w:lineRule="auto"/>
              <w:jc w:val="center"/>
              <w:rPr>
                <w:rFonts w:hint="default" w:ascii="宋体" w:hAnsi="宋体" w:eastAsia="宋体" w:cs="宋体"/>
                <w:sz w:val="24"/>
                <w:lang w:val="en-US" w:eastAsia="zh-CN"/>
              </w:rPr>
            </w:pPr>
          </w:p>
        </w:tc>
        <w:tc>
          <w:tcPr>
            <w:tcW w:w="247" w:type="pct"/>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辆</w:t>
            </w:r>
          </w:p>
        </w:tc>
        <w:tc>
          <w:tcPr>
            <w:tcW w:w="344" w:type="pct"/>
            <w:vAlign w:val="center"/>
          </w:tcPr>
          <w:p>
            <w:pPr>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439" w:type="pct"/>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18"/>
                <w:szCs w:val="18"/>
                <w:lang w:val="en-US" w:eastAsia="zh-CN"/>
              </w:rPr>
              <w:t>每辆车都装配电缆框架装置可调节，最高可调到2000mm，配套电缆固定装置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pct"/>
            <w:vAlign w:val="center"/>
          </w:tcPr>
          <w:p>
            <w:pPr>
              <w:spacing w:line="360" w:lineRule="auto"/>
              <w:jc w:val="center"/>
              <w:rPr>
                <w:rFonts w:ascii="宋体" w:hAnsi="宋体" w:cs="宋体"/>
                <w:sz w:val="24"/>
              </w:rPr>
            </w:pPr>
            <w:r>
              <w:rPr>
                <w:rFonts w:hint="eastAsia" w:ascii="宋体" w:hAnsi="宋体" w:cs="宋体"/>
                <w:sz w:val="24"/>
              </w:rPr>
              <w:t>1.2</w:t>
            </w:r>
          </w:p>
        </w:tc>
        <w:tc>
          <w:tcPr>
            <w:tcW w:w="1108" w:type="pct"/>
            <w:vAlign w:val="center"/>
          </w:tcPr>
          <w:p>
            <w:pPr>
              <w:jc w:val="center"/>
              <w:rPr>
                <w:rFonts w:ascii="宋体" w:hAnsi="宋体" w:cs="宋体"/>
                <w:sz w:val="24"/>
              </w:rPr>
            </w:pPr>
            <w:r>
              <w:rPr>
                <w:rFonts w:hint="eastAsia" w:ascii="宋体" w:hAnsi="宋体" w:cs="宋体"/>
                <w:sz w:val="24"/>
                <w:lang w:val="en-US" w:eastAsia="zh-CN"/>
              </w:rPr>
              <w:t>电</w:t>
            </w:r>
            <w:r>
              <w:rPr>
                <w:rFonts w:hint="eastAsia" w:ascii="宋体" w:hAnsi="宋体" w:cs="宋体"/>
                <w:sz w:val="24"/>
              </w:rPr>
              <w:t>缆存储装置</w:t>
            </w:r>
          </w:p>
        </w:tc>
        <w:tc>
          <w:tcPr>
            <w:tcW w:w="1496" w:type="pct"/>
            <w:vAlign w:val="center"/>
          </w:tcPr>
          <w:p>
            <w:pPr>
              <w:spacing w:line="360" w:lineRule="auto"/>
              <w:jc w:val="center"/>
              <w:rPr>
                <w:rFonts w:hint="default" w:ascii="宋体" w:hAnsi="宋体" w:eastAsia="宋体" w:cs="宋体"/>
                <w:sz w:val="24"/>
                <w:lang w:val="en-US" w:eastAsia="zh-CN"/>
              </w:rPr>
            </w:pPr>
          </w:p>
        </w:tc>
        <w:tc>
          <w:tcPr>
            <w:tcW w:w="247" w:type="pct"/>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套</w:t>
            </w:r>
          </w:p>
        </w:tc>
        <w:tc>
          <w:tcPr>
            <w:tcW w:w="344" w:type="pct"/>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439"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pct"/>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108" w:type="pct"/>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电缆支架车</w:t>
            </w:r>
          </w:p>
        </w:tc>
        <w:tc>
          <w:tcPr>
            <w:tcW w:w="1496" w:type="pct"/>
            <w:vAlign w:val="center"/>
          </w:tcPr>
          <w:p>
            <w:pPr>
              <w:spacing w:line="360" w:lineRule="auto"/>
              <w:jc w:val="center"/>
              <w:rPr>
                <w:rFonts w:hint="default" w:ascii="宋体" w:hAnsi="宋体" w:cs="宋体"/>
                <w:sz w:val="24"/>
                <w:lang w:val="en-US"/>
              </w:rPr>
            </w:pPr>
            <w:r>
              <w:rPr>
                <w:rFonts w:hint="eastAsia" w:ascii="宋体" w:hAnsi="宋体" w:eastAsia="宋体" w:cs="宋体"/>
                <w:sz w:val="24"/>
                <w:lang w:val="en-US" w:eastAsia="zh-CN"/>
              </w:rPr>
              <w:t>1</w:t>
            </w:r>
            <w:r>
              <w:rPr>
                <w:rFonts w:hint="eastAsia" w:ascii="宋体" w:hAnsi="宋体" w:cs="宋体"/>
                <w:sz w:val="24"/>
                <w:lang w:val="en-US" w:eastAsia="zh-CN"/>
              </w:rPr>
              <w:t>3</w:t>
            </w:r>
            <w:r>
              <w:rPr>
                <w:rFonts w:hint="eastAsia" w:ascii="宋体" w:hAnsi="宋体" w:eastAsia="宋体" w:cs="宋体"/>
                <w:sz w:val="24"/>
                <w:lang w:val="en-US" w:eastAsia="zh-CN"/>
              </w:rPr>
              <w:t>00</w:t>
            </w:r>
            <w:r>
              <w:rPr>
                <w:rFonts w:hint="default" w:ascii="宋体" w:hAnsi="宋体" w:eastAsia="宋体" w:cs="宋体"/>
                <w:sz w:val="24"/>
                <w:lang w:val="en-US" w:eastAsia="zh-CN"/>
              </w:rPr>
              <w:t>×</w:t>
            </w:r>
            <w:r>
              <w:rPr>
                <w:rFonts w:hint="eastAsia" w:ascii="宋体" w:hAnsi="宋体" w:eastAsia="宋体" w:cs="宋体"/>
                <w:sz w:val="24"/>
                <w:lang w:val="en-US" w:eastAsia="zh-CN"/>
              </w:rPr>
              <w:t>1</w:t>
            </w:r>
            <w:r>
              <w:rPr>
                <w:rFonts w:hint="eastAsia" w:ascii="宋体" w:hAnsi="宋体" w:cs="宋体"/>
                <w:sz w:val="24"/>
                <w:lang w:val="en-US" w:eastAsia="zh-CN"/>
              </w:rPr>
              <w:t>1</w:t>
            </w:r>
            <w:r>
              <w:rPr>
                <w:rFonts w:hint="eastAsia" w:ascii="宋体" w:hAnsi="宋体" w:eastAsia="宋体" w:cs="宋体"/>
                <w:sz w:val="24"/>
                <w:lang w:val="en-US" w:eastAsia="zh-CN"/>
              </w:rPr>
              <w:t>00</w:t>
            </w:r>
            <w:r>
              <w:rPr>
                <w:rFonts w:hint="default" w:ascii="宋体" w:hAnsi="宋体" w:eastAsia="宋体" w:cs="宋体"/>
                <w:sz w:val="24"/>
                <w:lang w:val="en-US" w:eastAsia="zh-CN"/>
              </w:rPr>
              <w:t>×≤</w:t>
            </w:r>
            <w:r>
              <w:rPr>
                <w:rFonts w:hint="eastAsia" w:ascii="宋体" w:hAnsi="宋体" w:eastAsia="宋体" w:cs="宋体"/>
                <w:sz w:val="24"/>
                <w:lang w:val="en-US" w:eastAsia="zh-CN"/>
              </w:rPr>
              <w:t>300</w:t>
            </w:r>
            <w:r>
              <w:rPr>
                <w:rFonts w:hint="eastAsia" w:ascii="宋体" w:hAnsi="宋体" w:cs="宋体"/>
                <w:sz w:val="24"/>
                <w:lang w:val="en-US" w:eastAsia="zh-CN"/>
              </w:rPr>
              <w:t>mm</w:t>
            </w:r>
          </w:p>
        </w:tc>
        <w:tc>
          <w:tcPr>
            <w:tcW w:w="247" w:type="pct"/>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辆</w:t>
            </w:r>
          </w:p>
        </w:tc>
        <w:tc>
          <w:tcPr>
            <w:tcW w:w="344" w:type="pct"/>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439" w:type="pct"/>
            <w:vAlign w:val="center"/>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18"/>
                <w:szCs w:val="18"/>
                <w:lang w:val="en-US" w:eastAsia="zh-CN"/>
              </w:rPr>
              <w:t>包含配套轨道、</w:t>
            </w:r>
            <w:r>
              <w:rPr>
                <w:rFonts w:hint="eastAsia" w:ascii="宋体" w:hAnsi="宋体" w:cs="宋体"/>
                <w:sz w:val="18"/>
                <w:szCs w:val="18"/>
                <w:lang w:val="en-US" w:eastAsia="zh-CN"/>
              </w:rPr>
              <w:t>防倾倒装置</w:t>
            </w:r>
            <w:r>
              <w:rPr>
                <w:rFonts w:hint="eastAsia" w:ascii="宋体" w:hAnsi="宋体" w:eastAsia="宋体" w:cs="宋体"/>
                <w:sz w:val="18"/>
                <w:szCs w:val="18"/>
                <w:lang w:val="en-US" w:eastAsia="zh-CN"/>
              </w:rPr>
              <w:t>、电缆支架（可调节最高2000mm）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pct"/>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.1</w:t>
            </w:r>
          </w:p>
        </w:tc>
        <w:tc>
          <w:tcPr>
            <w:tcW w:w="1108" w:type="pct"/>
            <w:vAlign w:val="center"/>
          </w:tcPr>
          <w:p>
            <w:pPr>
              <w:jc w:val="center"/>
              <w:rPr>
                <w:rFonts w:ascii="宋体"/>
                <w:color w:val="000000"/>
                <w:sz w:val="24"/>
              </w:rPr>
            </w:pPr>
            <w:r>
              <w:rPr>
                <w:rFonts w:hint="eastAsia" w:ascii="宋体" w:hAnsi="宋体" w:cs="宋体"/>
                <w:color w:val="auto"/>
                <w:sz w:val="24"/>
              </w:rPr>
              <w:t>柔性托架</w:t>
            </w:r>
          </w:p>
        </w:tc>
        <w:tc>
          <w:tcPr>
            <w:tcW w:w="1496" w:type="pct"/>
            <w:vAlign w:val="center"/>
          </w:tcPr>
          <w:p>
            <w:pPr>
              <w:spacing w:line="360" w:lineRule="auto"/>
              <w:jc w:val="center"/>
              <w:rPr>
                <w:rFonts w:hint="default" w:ascii="宋体" w:eastAsia="宋体"/>
                <w:color w:val="000000"/>
                <w:sz w:val="24"/>
                <w:lang w:val="en-US" w:eastAsia="zh-CN"/>
              </w:rPr>
            </w:pPr>
            <w:r>
              <w:rPr>
                <w:rFonts w:hint="eastAsia" w:ascii="宋体"/>
                <w:color w:val="000000"/>
                <w:sz w:val="18"/>
                <w:szCs w:val="18"/>
                <w:lang w:val="en-US" w:eastAsia="zh-CN"/>
              </w:rPr>
              <w:t>长度</w:t>
            </w:r>
            <w:r>
              <w:rPr>
                <w:rFonts w:hint="default" w:ascii="Arial" w:hAnsi="Arial" w:cs="Arial"/>
                <w:color w:val="000000"/>
                <w:sz w:val="18"/>
                <w:szCs w:val="18"/>
                <w:lang w:val="en-US" w:eastAsia="zh-CN"/>
              </w:rPr>
              <w:t>≥</w:t>
            </w:r>
            <w:r>
              <w:rPr>
                <w:rFonts w:hint="eastAsia" w:ascii="宋体"/>
                <w:color w:val="000000"/>
                <w:sz w:val="18"/>
                <w:szCs w:val="18"/>
                <w:lang w:val="en-US" w:eastAsia="zh-CN"/>
              </w:rPr>
              <w:t>5000宽度1200mm</w:t>
            </w:r>
          </w:p>
        </w:tc>
        <w:tc>
          <w:tcPr>
            <w:tcW w:w="247" w:type="pct"/>
            <w:vAlign w:val="center"/>
          </w:tcPr>
          <w:p>
            <w:pPr>
              <w:spacing w:line="360" w:lineRule="auto"/>
              <w:jc w:val="center"/>
              <w:rPr>
                <w:rFonts w:ascii="宋体"/>
                <w:color w:val="000000"/>
                <w:sz w:val="24"/>
              </w:rPr>
            </w:pPr>
            <w:r>
              <w:rPr>
                <w:rFonts w:hint="eastAsia" w:ascii="宋体" w:hAnsi="宋体" w:cs="宋体"/>
                <w:sz w:val="24"/>
              </w:rPr>
              <w:t>套</w:t>
            </w:r>
          </w:p>
        </w:tc>
        <w:tc>
          <w:tcPr>
            <w:tcW w:w="344" w:type="pct"/>
            <w:vAlign w:val="center"/>
          </w:tcPr>
          <w:p>
            <w:pPr>
              <w:spacing w:line="360" w:lineRule="auto"/>
              <w:jc w:val="center"/>
              <w:rPr>
                <w:rFonts w:hint="default" w:ascii="宋体" w:eastAsia="宋体"/>
                <w:color w:val="000000"/>
                <w:sz w:val="24"/>
                <w:lang w:val="en-US" w:eastAsia="zh-CN"/>
              </w:rPr>
            </w:pPr>
            <w:r>
              <w:rPr>
                <w:rFonts w:hint="eastAsia" w:ascii="宋体" w:hAnsi="宋体" w:cs="宋体"/>
                <w:sz w:val="24"/>
                <w:lang w:val="en-US" w:eastAsia="zh-CN"/>
              </w:rPr>
              <w:t>10</w:t>
            </w:r>
          </w:p>
        </w:tc>
        <w:tc>
          <w:tcPr>
            <w:tcW w:w="1439" w:type="pct"/>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配套电缆固定装置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pct"/>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108" w:type="pct"/>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车辆连接装置</w:t>
            </w:r>
          </w:p>
        </w:tc>
        <w:tc>
          <w:tcPr>
            <w:tcW w:w="1496" w:type="pct"/>
            <w:vAlign w:val="center"/>
          </w:tcPr>
          <w:p>
            <w:pPr>
              <w:spacing w:line="360" w:lineRule="auto"/>
              <w:jc w:val="center"/>
              <w:rPr>
                <w:rFonts w:hint="eastAsia" w:ascii="宋体" w:eastAsia="宋体"/>
                <w:color w:val="000000"/>
                <w:sz w:val="24"/>
                <w:lang w:val="en-US" w:eastAsia="zh-CN"/>
              </w:rPr>
            </w:pPr>
          </w:p>
        </w:tc>
        <w:tc>
          <w:tcPr>
            <w:tcW w:w="422" w:type="dxa"/>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rPr>
              <w:t>套</w:t>
            </w:r>
          </w:p>
        </w:tc>
        <w:tc>
          <w:tcPr>
            <w:tcW w:w="344" w:type="pct"/>
            <w:vAlign w:val="center"/>
          </w:tcPr>
          <w:p>
            <w:pPr>
              <w:spacing w:line="360" w:lineRule="auto"/>
              <w:jc w:val="center"/>
              <w:rPr>
                <w:rFonts w:hint="default" w:ascii="宋体" w:eastAsia="宋体"/>
                <w:color w:val="000000"/>
                <w:sz w:val="24"/>
                <w:lang w:val="en-US" w:eastAsia="zh-CN"/>
              </w:rPr>
            </w:pPr>
            <w:r>
              <w:rPr>
                <w:rFonts w:hint="eastAsia" w:ascii="宋体"/>
                <w:color w:val="000000"/>
                <w:sz w:val="24"/>
                <w:lang w:val="en-US" w:eastAsia="zh-CN"/>
              </w:rPr>
              <w:t>22</w:t>
            </w:r>
          </w:p>
        </w:tc>
        <w:tc>
          <w:tcPr>
            <w:tcW w:w="1439" w:type="pct"/>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15"/>
                <w:szCs w:val="15"/>
                <w:highlight w:val="none"/>
                <w:lang w:val="en-US" w:eastAsia="zh-CN"/>
              </w:rPr>
              <w:t>证书齐全，资质单位检测合格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pct"/>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108" w:type="pct"/>
            <w:vAlign w:val="center"/>
          </w:tcPr>
          <w:p>
            <w:pPr>
              <w:jc w:val="center"/>
              <w:rPr>
                <w:rFonts w:ascii="宋体" w:hAnsi="宋体" w:cs="宋体"/>
                <w:sz w:val="24"/>
              </w:rPr>
            </w:pPr>
            <w:r>
              <w:rPr>
                <w:rFonts w:hint="eastAsia" w:ascii="宋体" w:hAnsi="宋体" w:cs="宋体"/>
                <w:sz w:val="24"/>
              </w:rPr>
              <w:t>电液控制系统</w:t>
            </w:r>
          </w:p>
        </w:tc>
        <w:tc>
          <w:tcPr>
            <w:tcW w:w="1496" w:type="pct"/>
            <w:vAlign w:val="center"/>
          </w:tcPr>
          <w:p>
            <w:pPr>
              <w:spacing w:line="360" w:lineRule="auto"/>
              <w:jc w:val="center"/>
              <w:rPr>
                <w:rFonts w:ascii="宋体"/>
                <w:color w:val="000000"/>
                <w:sz w:val="24"/>
              </w:rPr>
            </w:pPr>
          </w:p>
        </w:tc>
        <w:tc>
          <w:tcPr>
            <w:tcW w:w="247" w:type="pct"/>
            <w:vAlign w:val="center"/>
          </w:tcPr>
          <w:p>
            <w:pPr>
              <w:spacing w:line="360" w:lineRule="auto"/>
              <w:jc w:val="center"/>
              <w:rPr>
                <w:rFonts w:ascii="宋体" w:hAnsi="宋体" w:cs="宋体"/>
                <w:sz w:val="24"/>
              </w:rPr>
            </w:pPr>
            <w:r>
              <w:rPr>
                <w:rFonts w:hint="eastAsia" w:ascii="宋体" w:hAnsi="宋体" w:cs="宋体"/>
                <w:sz w:val="24"/>
              </w:rPr>
              <w:t>套</w:t>
            </w:r>
          </w:p>
        </w:tc>
        <w:tc>
          <w:tcPr>
            <w:tcW w:w="344" w:type="pct"/>
            <w:vAlign w:val="center"/>
          </w:tcPr>
          <w:p>
            <w:pPr>
              <w:spacing w:line="360" w:lineRule="auto"/>
              <w:jc w:val="center"/>
              <w:rPr>
                <w:rFonts w:ascii="宋体"/>
                <w:color w:val="000000"/>
                <w:sz w:val="24"/>
              </w:rPr>
            </w:pPr>
            <w:r>
              <w:rPr>
                <w:rFonts w:hint="eastAsia" w:ascii="宋体" w:hAnsi="宋体" w:cs="宋体"/>
                <w:sz w:val="24"/>
              </w:rPr>
              <w:t>1</w:t>
            </w:r>
          </w:p>
        </w:tc>
        <w:tc>
          <w:tcPr>
            <w:tcW w:w="1439"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pct"/>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.1</w:t>
            </w:r>
          </w:p>
        </w:tc>
        <w:tc>
          <w:tcPr>
            <w:tcW w:w="1108" w:type="pct"/>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矿用本质安全型电液换向阀</w:t>
            </w:r>
          </w:p>
        </w:tc>
        <w:tc>
          <w:tcPr>
            <w:tcW w:w="1496" w:type="pct"/>
            <w:vAlign w:val="center"/>
          </w:tcPr>
          <w:p>
            <w:pPr>
              <w:jc w:val="center"/>
              <w:rPr>
                <w:rFonts w:ascii="宋体" w:hAnsi="宋体" w:cs="宋体"/>
                <w:sz w:val="24"/>
              </w:rPr>
            </w:pPr>
          </w:p>
        </w:tc>
        <w:tc>
          <w:tcPr>
            <w:tcW w:w="247" w:type="pct"/>
            <w:vAlign w:val="center"/>
          </w:tcPr>
          <w:p>
            <w:pPr>
              <w:spacing w:line="360" w:lineRule="auto"/>
              <w:jc w:val="center"/>
              <w:rPr>
                <w:rFonts w:ascii="宋体" w:hAnsi="宋体" w:cs="宋体"/>
                <w:sz w:val="24"/>
              </w:rPr>
            </w:pPr>
            <w:r>
              <w:rPr>
                <w:rFonts w:hint="eastAsia" w:ascii="宋体" w:hAnsi="宋体" w:cs="宋体"/>
                <w:sz w:val="24"/>
                <w:lang w:eastAsia="en-US"/>
              </w:rPr>
              <w:t>件</w:t>
            </w:r>
          </w:p>
        </w:tc>
        <w:tc>
          <w:tcPr>
            <w:tcW w:w="344" w:type="pct"/>
            <w:vAlign w:val="center"/>
          </w:tcPr>
          <w:p>
            <w:pPr>
              <w:spacing w:line="360" w:lineRule="auto"/>
              <w:jc w:val="center"/>
              <w:rPr>
                <w:rFonts w:ascii="宋体" w:hAnsi="宋体" w:cs="宋体"/>
                <w:sz w:val="24"/>
              </w:rPr>
            </w:pPr>
            <w:r>
              <w:rPr>
                <w:rFonts w:hint="eastAsia" w:ascii="宋体" w:hAnsi="宋体" w:cs="宋体"/>
                <w:sz w:val="24"/>
              </w:rPr>
              <w:t>1</w:t>
            </w:r>
          </w:p>
        </w:tc>
        <w:tc>
          <w:tcPr>
            <w:tcW w:w="1439"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pct"/>
            <w:vAlign w:val="center"/>
          </w:tcPr>
          <w:p>
            <w:pPr>
              <w:spacing w:line="360" w:lineRule="auto"/>
              <w:jc w:val="center"/>
              <w:rPr>
                <w:rFonts w:ascii="宋体" w:hAnsi="宋体" w:cs="宋体"/>
                <w:sz w:val="24"/>
              </w:rPr>
            </w:pPr>
            <w:r>
              <w:rPr>
                <w:rFonts w:hint="eastAsia" w:ascii="宋体" w:hAnsi="宋体" w:cs="宋体"/>
                <w:sz w:val="24"/>
                <w:lang w:val="en-US" w:eastAsia="zh-CN"/>
              </w:rPr>
              <w:t>4</w:t>
            </w:r>
            <w:r>
              <w:rPr>
                <w:rFonts w:hint="eastAsia" w:ascii="宋体" w:hAnsi="宋体" w:cs="宋体"/>
                <w:sz w:val="24"/>
              </w:rPr>
              <w:t>.2</w:t>
            </w:r>
          </w:p>
        </w:tc>
        <w:tc>
          <w:tcPr>
            <w:tcW w:w="1108" w:type="pct"/>
            <w:vAlign w:val="center"/>
          </w:tcPr>
          <w:p>
            <w:pPr>
              <w:jc w:val="center"/>
              <w:rPr>
                <w:rFonts w:ascii="宋体" w:hAnsi="宋体" w:cs="宋体"/>
                <w:sz w:val="24"/>
              </w:rPr>
            </w:pPr>
            <w:r>
              <w:rPr>
                <w:rFonts w:hint="eastAsia" w:ascii="宋体" w:hAnsi="宋体" w:cs="宋体"/>
                <w:sz w:val="24"/>
              </w:rPr>
              <w:t>液压支架电液控制装置控制器</w:t>
            </w:r>
          </w:p>
        </w:tc>
        <w:tc>
          <w:tcPr>
            <w:tcW w:w="1496" w:type="pct"/>
            <w:vAlign w:val="center"/>
          </w:tcPr>
          <w:p>
            <w:pPr>
              <w:spacing w:line="360" w:lineRule="auto"/>
              <w:jc w:val="center"/>
              <w:rPr>
                <w:rFonts w:ascii="宋体" w:hAnsi="宋体" w:cs="宋体"/>
                <w:sz w:val="24"/>
              </w:rPr>
            </w:pPr>
          </w:p>
        </w:tc>
        <w:tc>
          <w:tcPr>
            <w:tcW w:w="247" w:type="pct"/>
            <w:vAlign w:val="center"/>
          </w:tcPr>
          <w:p>
            <w:pPr>
              <w:spacing w:line="360" w:lineRule="auto"/>
              <w:jc w:val="center"/>
              <w:rPr>
                <w:rFonts w:ascii="宋体" w:hAnsi="宋体" w:cs="宋体"/>
                <w:sz w:val="24"/>
              </w:rPr>
            </w:pPr>
            <w:r>
              <w:rPr>
                <w:rFonts w:hint="eastAsia" w:ascii="宋体" w:hAnsi="宋体" w:cs="宋体"/>
                <w:sz w:val="24"/>
                <w:lang w:eastAsia="en-US"/>
              </w:rPr>
              <w:t>件</w:t>
            </w:r>
          </w:p>
        </w:tc>
        <w:tc>
          <w:tcPr>
            <w:tcW w:w="344" w:type="pct"/>
            <w:vAlign w:val="center"/>
          </w:tcPr>
          <w:p>
            <w:pPr>
              <w:spacing w:line="360" w:lineRule="auto"/>
              <w:jc w:val="center"/>
              <w:rPr>
                <w:rFonts w:ascii="宋体" w:hAnsi="宋体" w:cs="宋体"/>
                <w:sz w:val="24"/>
              </w:rPr>
            </w:pPr>
            <w:r>
              <w:rPr>
                <w:rFonts w:hint="eastAsia" w:ascii="宋体" w:hAnsi="宋体" w:cs="宋体"/>
                <w:sz w:val="24"/>
              </w:rPr>
              <w:t>1</w:t>
            </w:r>
          </w:p>
        </w:tc>
        <w:tc>
          <w:tcPr>
            <w:tcW w:w="1439"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pct"/>
            <w:vAlign w:val="center"/>
          </w:tcPr>
          <w:p>
            <w:pPr>
              <w:spacing w:line="360" w:lineRule="auto"/>
              <w:jc w:val="center"/>
              <w:rPr>
                <w:rFonts w:ascii="宋体" w:hAnsi="宋体" w:cs="宋体"/>
                <w:sz w:val="24"/>
              </w:rPr>
            </w:pPr>
            <w:r>
              <w:rPr>
                <w:rFonts w:hint="eastAsia" w:ascii="宋体" w:hAnsi="宋体" w:cs="宋体"/>
                <w:sz w:val="24"/>
                <w:lang w:val="en-US" w:eastAsia="zh-CN"/>
              </w:rPr>
              <w:t>4</w:t>
            </w:r>
            <w:r>
              <w:rPr>
                <w:rFonts w:hint="eastAsia" w:ascii="宋体" w:hAnsi="宋体" w:cs="宋体"/>
                <w:sz w:val="24"/>
              </w:rPr>
              <w:t>.3</w:t>
            </w:r>
          </w:p>
        </w:tc>
        <w:tc>
          <w:tcPr>
            <w:tcW w:w="1108" w:type="pct"/>
            <w:vAlign w:val="center"/>
          </w:tcPr>
          <w:p>
            <w:pPr>
              <w:jc w:val="center"/>
              <w:rPr>
                <w:rFonts w:ascii="宋体" w:hAnsi="宋体" w:cs="宋体"/>
                <w:sz w:val="24"/>
              </w:rPr>
            </w:pPr>
            <w:r>
              <w:rPr>
                <w:rFonts w:hint="eastAsia" w:ascii="宋体" w:hAnsi="宋体" w:cs="宋体"/>
                <w:sz w:val="24"/>
              </w:rPr>
              <w:t>遥控发射器</w:t>
            </w:r>
          </w:p>
        </w:tc>
        <w:tc>
          <w:tcPr>
            <w:tcW w:w="1496" w:type="pct"/>
            <w:vAlign w:val="center"/>
          </w:tcPr>
          <w:p>
            <w:pPr>
              <w:spacing w:line="360" w:lineRule="auto"/>
              <w:jc w:val="center"/>
              <w:rPr>
                <w:rFonts w:ascii="宋体" w:hAnsi="宋体" w:cs="宋体"/>
                <w:sz w:val="24"/>
              </w:rPr>
            </w:pPr>
          </w:p>
        </w:tc>
        <w:tc>
          <w:tcPr>
            <w:tcW w:w="247" w:type="pct"/>
            <w:vAlign w:val="center"/>
          </w:tcPr>
          <w:p>
            <w:pPr>
              <w:spacing w:line="360" w:lineRule="auto"/>
              <w:jc w:val="center"/>
              <w:rPr>
                <w:rFonts w:ascii="宋体" w:hAnsi="宋体" w:cs="宋体"/>
                <w:sz w:val="24"/>
              </w:rPr>
            </w:pPr>
            <w:r>
              <w:rPr>
                <w:rFonts w:hint="eastAsia" w:ascii="宋体" w:hAnsi="宋体" w:cs="宋体"/>
                <w:sz w:val="24"/>
                <w:lang w:eastAsia="en-US"/>
              </w:rPr>
              <w:t>件</w:t>
            </w:r>
          </w:p>
        </w:tc>
        <w:tc>
          <w:tcPr>
            <w:tcW w:w="344" w:type="pct"/>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439"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pct"/>
            <w:vAlign w:val="center"/>
          </w:tcPr>
          <w:p>
            <w:pPr>
              <w:spacing w:line="360" w:lineRule="auto"/>
              <w:jc w:val="center"/>
              <w:rPr>
                <w:rFonts w:ascii="宋体" w:hAnsi="宋体" w:cs="宋体"/>
                <w:sz w:val="24"/>
              </w:rPr>
            </w:pPr>
            <w:r>
              <w:rPr>
                <w:rFonts w:hint="eastAsia" w:ascii="宋体" w:hAnsi="宋体" w:cs="宋体"/>
                <w:sz w:val="24"/>
                <w:lang w:val="en-US" w:eastAsia="zh-CN"/>
              </w:rPr>
              <w:t>4</w:t>
            </w:r>
            <w:r>
              <w:rPr>
                <w:rFonts w:hint="eastAsia" w:ascii="宋体" w:hAnsi="宋体" w:cs="宋体"/>
                <w:sz w:val="24"/>
              </w:rPr>
              <w:t>.4</w:t>
            </w:r>
          </w:p>
        </w:tc>
        <w:tc>
          <w:tcPr>
            <w:tcW w:w="1108" w:type="pct"/>
            <w:vAlign w:val="center"/>
          </w:tcPr>
          <w:p>
            <w:pPr>
              <w:jc w:val="center"/>
              <w:rPr>
                <w:rFonts w:ascii="宋体" w:hAnsi="宋体" w:cs="宋体"/>
                <w:sz w:val="24"/>
              </w:rPr>
            </w:pPr>
            <w:r>
              <w:rPr>
                <w:rFonts w:hint="eastAsia" w:ascii="宋体" w:hAnsi="宋体" w:cs="宋体"/>
                <w:sz w:val="24"/>
              </w:rPr>
              <w:t>无线接收器</w:t>
            </w:r>
          </w:p>
        </w:tc>
        <w:tc>
          <w:tcPr>
            <w:tcW w:w="1496" w:type="pct"/>
            <w:vAlign w:val="center"/>
          </w:tcPr>
          <w:p>
            <w:pPr>
              <w:spacing w:line="360" w:lineRule="auto"/>
              <w:jc w:val="center"/>
              <w:rPr>
                <w:rFonts w:ascii="宋体" w:hAnsi="宋体" w:cs="宋体"/>
                <w:sz w:val="24"/>
              </w:rPr>
            </w:pPr>
          </w:p>
        </w:tc>
        <w:tc>
          <w:tcPr>
            <w:tcW w:w="247" w:type="pct"/>
            <w:vAlign w:val="center"/>
          </w:tcPr>
          <w:p>
            <w:pPr>
              <w:spacing w:line="360" w:lineRule="auto"/>
              <w:jc w:val="center"/>
              <w:rPr>
                <w:rFonts w:ascii="宋体" w:hAnsi="宋体" w:cs="宋体"/>
                <w:sz w:val="24"/>
              </w:rPr>
            </w:pPr>
            <w:r>
              <w:rPr>
                <w:rFonts w:hint="eastAsia" w:ascii="宋体" w:hAnsi="宋体" w:cs="宋体"/>
                <w:sz w:val="24"/>
                <w:lang w:eastAsia="en-US"/>
              </w:rPr>
              <w:t>件</w:t>
            </w:r>
          </w:p>
        </w:tc>
        <w:tc>
          <w:tcPr>
            <w:tcW w:w="344" w:type="pct"/>
            <w:vAlign w:val="center"/>
          </w:tcPr>
          <w:p>
            <w:pPr>
              <w:spacing w:line="360" w:lineRule="auto"/>
              <w:jc w:val="center"/>
              <w:rPr>
                <w:rFonts w:ascii="宋体" w:hAnsi="宋体" w:cs="宋体"/>
                <w:sz w:val="24"/>
              </w:rPr>
            </w:pPr>
            <w:r>
              <w:rPr>
                <w:rFonts w:hint="eastAsia" w:ascii="宋体" w:hAnsi="宋体" w:cs="宋体"/>
                <w:sz w:val="24"/>
              </w:rPr>
              <w:t>1</w:t>
            </w:r>
          </w:p>
        </w:tc>
        <w:tc>
          <w:tcPr>
            <w:tcW w:w="1439"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pct"/>
            <w:vAlign w:val="center"/>
          </w:tcPr>
          <w:p>
            <w:pPr>
              <w:spacing w:line="360" w:lineRule="auto"/>
              <w:jc w:val="center"/>
              <w:rPr>
                <w:rFonts w:ascii="宋体" w:hAnsi="宋体" w:cs="宋体"/>
                <w:sz w:val="24"/>
              </w:rPr>
            </w:pPr>
            <w:r>
              <w:rPr>
                <w:rFonts w:hint="eastAsia" w:ascii="宋体" w:hAnsi="宋体" w:cs="宋体"/>
                <w:sz w:val="24"/>
                <w:lang w:val="en-US" w:eastAsia="zh-CN"/>
              </w:rPr>
              <w:t>4</w:t>
            </w:r>
            <w:r>
              <w:rPr>
                <w:rFonts w:hint="eastAsia" w:ascii="宋体" w:hAnsi="宋体" w:cs="宋体"/>
                <w:sz w:val="24"/>
              </w:rPr>
              <w:t>.5</w:t>
            </w:r>
          </w:p>
        </w:tc>
        <w:tc>
          <w:tcPr>
            <w:tcW w:w="1108" w:type="pct"/>
            <w:vAlign w:val="center"/>
          </w:tcPr>
          <w:p>
            <w:pPr>
              <w:jc w:val="center"/>
              <w:rPr>
                <w:rFonts w:ascii="宋体" w:hAnsi="宋体" w:cs="宋体"/>
                <w:sz w:val="24"/>
              </w:rPr>
            </w:pPr>
            <w:r>
              <w:rPr>
                <w:rFonts w:hint="eastAsia" w:ascii="宋体" w:hAnsi="宋体" w:cs="宋体"/>
                <w:sz w:val="24"/>
              </w:rPr>
              <w:t>矿用隔爆兼本质安全型稳压电源</w:t>
            </w:r>
          </w:p>
        </w:tc>
        <w:tc>
          <w:tcPr>
            <w:tcW w:w="1496" w:type="pct"/>
            <w:vAlign w:val="center"/>
          </w:tcPr>
          <w:p>
            <w:pPr>
              <w:spacing w:line="360" w:lineRule="auto"/>
              <w:jc w:val="center"/>
              <w:rPr>
                <w:rFonts w:ascii="宋体" w:hAnsi="宋体" w:cs="宋体"/>
                <w:sz w:val="24"/>
              </w:rPr>
            </w:pPr>
          </w:p>
        </w:tc>
        <w:tc>
          <w:tcPr>
            <w:tcW w:w="247" w:type="pct"/>
            <w:vAlign w:val="center"/>
          </w:tcPr>
          <w:p>
            <w:pPr>
              <w:spacing w:line="360" w:lineRule="auto"/>
              <w:jc w:val="center"/>
              <w:rPr>
                <w:rFonts w:ascii="宋体" w:hAnsi="宋体" w:cs="宋体"/>
                <w:sz w:val="24"/>
              </w:rPr>
            </w:pPr>
            <w:r>
              <w:rPr>
                <w:rFonts w:hint="eastAsia" w:ascii="宋体" w:hAnsi="宋体" w:cs="宋体"/>
                <w:sz w:val="24"/>
                <w:lang w:eastAsia="en-US"/>
              </w:rPr>
              <w:t>件</w:t>
            </w:r>
          </w:p>
        </w:tc>
        <w:tc>
          <w:tcPr>
            <w:tcW w:w="344" w:type="pct"/>
            <w:vAlign w:val="center"/>
          </w:tcPr>
          <w:p>
            <w:pPr>
              <w:spacing w:line="360" w:lineRule="auto"/>
              <w:jc w:val="center"/>
              <w:rPr>
                <w:rFonts w:ascii="宋体" w:hAnsi="宋体" w:cs="宋体"/>
                <w:sz w:val="24"/>
              </w:rPr>
            </w:pPr>
            <w:r>
              <w:rPr>
                <w:rFonts w:hint="eastAsia" w:ascii="宋体" w:hAnsi="宋体" w:cs="宋体"/>
                <w:sz w:val="24"/>
              </w:rPr>
              <w:t>1</w:t>
            </w:r>
          </w:p>
        </w:tc>
        <w:tc>
          <w:tcPr>
            <w:tcW w:w="1439"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3" w:type="pct"/>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5</w:t>
            </w:r>
            <w:bookmarkStart w:id="63" w:name="_GoBack"/>
            <w:bookmarkEnd w:id="63"/>
          </w:p>
        </w:tc>
        <w:tc>
          <w:tcPr>
            <w:tcW w:w="1108" w:type="pct"/>
            <w:vAlign w:val="center"/>
          </w:tcPr>
          <w:p>
            <w:pPr>
              <w:jc w:val="center"/>
              <w:rPr>
                <w:rFonts w:hint="eastAsia" w:ascii="宋体" w:hAnsi="宋体" w:cs="宋体"/>
                <w:sz w:val="24"/>
              </w:rPr>
            </w:pPr>
            <w:r>
              <w:rPr>
                <w:rFonts w:hint="eastAsia" w:ascii="宋体" w:hAnsi="宋体" w:eastAsia="宋体" w:cs="宋体"/>
                <w:sz w:val="24"/>
                <w:szCs w:val="24"/>
                <w:lang w:val="en-US" w:eastAsia="zh-CN"/>
              </w:rPr>
              <w:t>戗顶装置</w:t>
            </w:r>
          </w:p>
        </w:tc>
        <w:tc>
          <w:tcPr>
            <w:tcW w:w="1496" w:type="pct"/>
            <w:vAlign w:val="center"/>
          </w:tcPr>
          <w:p>
            <w:pPr>
              <w:spacing w:line="360" w:lineRule="auto"/>
              <w:jc w:val="center"/>
              <w:rPr>
                <w:rFonts w:ascii="宋体" w:hAnsi="宋体" w:cs="宋体"/>
                <w:sz w:val="24"/>
              </w:rPr>
            </w:pPr>
          </w:p>
        </w:tc>
        <w:tc>
          <w:tcPr>
            <w:tcW w:w="247" w:type="pct"/>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套</w:t>
            </w:r>
          </w:p>
        </w:tc>
        <w:tc>
          <w:tcPr>
            <w:tcW w:w="344" w:type="pct"/>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1439" w:type="pct"/>
            <w:vAlign w:val="center"/>
          </w:tcPr>
          <w:p>
            <w:pPr>
              <w:spacing w:line="360" w:lineRule="auto"/>
              <w:jc w:val="center"/>
              <w:rPr>
                <w:rFonts w:ascii="宋体" w:hAnsi="宋体" w:cs="宋体"/>
                <w:sz w:val="24"/>
              </w:rPr>
            </w:pPr>
          </w:p>
        </w:tc>
      </w:tr>
    </w:tbl>
    <w:p>
      <w:pPr>
        <w:rPr>
          <w:rFonts w:hint="eastAsia" w:ascii="宋体" w:hAnsi="宋体" w:eastAsia="宋体" w:cs="Arial"/>
          <w:b/>
          <w:bCs/>
          <w:color w:val="auto"/>
          <w:kern w:val="0"/>
          <w:sz w:val="28"/>
          <w:szCs w:val="28"/>
          <w:lang w:val="en-US" w:eastAsia="zh-CN"/>
        </w:rPr>
      </w:pPr>
      <w:r>
        <w:rPr>
          <w:rFonts w:hint="eastAsia" w:ascii="宋体" w:hAnsi="宋体" w:eastAsia="宋体" w:cs="宋体"/>
          <w:sz w:val="24"/>
          <w:szCs w:val="24"/>
          <w:lang w:val="en-US" w:eastAsia="zh-CN"/>
        </w:rPr>
        <w:t>表中型号为参考型号，各投标厂家可根据自己产品进行更改、增加，但所有纳入“煤矿安全标志管理目录”管理的设备及配件必须有单独的“MA”证。配置表中的配件、设备应根据实际系统需要进行配备齐全，必须满足电控液压移动列车组整体安装运行。</w:t>
      </w:r>
    </w:p>
    <w:p>
      <w:pPr>
        <w:numPr>
          <w:ilvl w:val="0"/>
          <w:numId w:val="2"/>
        </w:numPr>
        <w:rPr>
          <w:rFonts w:hint="eastAsia" w:ascii="宋体" w:hAnsi="宋体" w:eastAsia="宋体" w:cs="Arial"/>
          <w:b/>
          <w:color w:val="000000"/>
          <w:kern w:val="0"/>
          <w:sz w:val="28"/>
          <w:szCs w:val="28"/>
          <w:lang w:val="en-US" w:eastAsia="zh-CN"/>
        </w:rPr>
      </w:pPr>
      <w:r>
        <w:rPr>
          <w:rFonts w:hint="eastAsia" w:ascii="宋体" w:hAnsi="宋体" w:eastAsia="宋体" w:cs="Arial"/>
          <w:b/>
          <w:color w:val="000000"/>
          <w:kern w:val="0"/>
          <w:sz w:val="28"/>
          <w:szCs w:val="28"/>
          <w:lang w:val="en-US" w:eastAsia="zh-CN"/>
        </w:rPr>
        <w:t>基本技术要求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所有车辆的液压管路集中控制。以液压缸为执行元件，实现平板车和轨道的交替自移，同时保证移动时设备的稳定性和安全性。随着采煤工作面的向前推进，操作液压自移式设备列车的控制系统，即可完成整套设备的牵移</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2.控制方式：电液控，就地控制、远控、遥控功能。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3.行走方式：液压迈步自移式整体行走。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.移动列车控制操作台</w:t>
      </w:r>
      <w:r>
        <w:rPr>
          <w:rFonts w:hint="eastAsia" w:ascii="宋体" w:hAnsi="宋体" w:eastAsia="宋体" w:cs="宋体"/>
          <w:sz w:val="24"/>
          <w:szCs w:val="24"/>
          <w:lang w:val="en-US" w:eastAsia="zh-CN"/>
        </w:rPr>
        <w:t>进液接口</w:t>
      </w:r>
      <w:r>
        <w:rPr>
          <w:rFonts w:hint="eastAsia" w:ascii="宋体" w:hAnsi="宋体" w:eastAsia="宋体" w:cs="宋体"/>
          <w:sz w:val="24"/>
          <w:szCs w:val="24"/>
        </w:rPr>
        <w:t>DN</w:t>
      </w:r>
      <w:r>
        <w:rPr>
          <w:rFonts w:hint="eastAsia" w:ascii="宋体" w:hAnsi="宋体" w:eastAsia="宋体" w:cs="宋体"/>
          <w:sz w:val="24"/>
          <w:szCs w:val="24"/>
          <w:lang w:val="en-US" w:eastAsia="zh-CN"/>
        </w:rPr>
        <w:t>25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配转换接头DN19</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回液</w:t>
      </w:r>
      <w:r>
        <w:rPr>
          <w:rFonts w:hint="eastAsia" w:ascii="宋体" w:hAnsi="宋体" w:eastAsia="宋体" w:cs="宋体"/>
          <w:sz w:val="24"/>
          <w:szCs w:val="24"/>
        </w:rPr>
        <w:t>接口DN</w:t>
      </w:r>
      <w:r>
        <w:rPr>
          <w:rFonts w:hint="eastAsia" w:ascii="宋体" w:hAnsi="宋体" w:eastAsia="宋体" w:cs="宋体"/>
          <w:sz w:val="24"/>
          <w:szCs w:val="24"/>
          <w:lang w:val="en-US" w:eastAsia="zh-CN"/>
        </w:rPr>
        <w:t>32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配转换接头DN25</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.自移列车的硬连接杆长度</w:t>
      </w:r>
      <w:r>
        <w:rPr>
          <w:rFonts w:hint="eastAsia" w:ascii="宋体" w:hAnsi="宋体" w:eastAsia="宋体" w:cs="宋体"/>
          <w:color w:val="auto"/>
          <w:sz w:val="24"/>
          <w:szCs w:val="24"/>
          <w:lang w:val="en-US" w:eastAsia="zh-CN"/>
        </w:rPr>
        <w:t>按照矿方要求加工</w:t>
      </w:r>
      <w:r>
        <w:rPr>
          <w:rFonts w:hint="eastAsia" w:ascii="宋体" w:hAnsi="宋体" w:cs="宋体"/>
          <w:color w:val="auto"/>
          <w:sz w:val="24"/>
          <w:szCs w:val="24"/>
          <w:lang w:val="en-US" w:eastAsia="zh-CN"/>
        </w:rPr>
        <w:t>（取得煤安证书）</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选用</w:t>
      </w:r>
      <w:r>
        <w:rPr>
          <w:rFonts w:hint="eastAsia" w:ascii="宋体" w:hAnsi="宋体" w:eastAsia="宋体" w:cs="宋体"/>
          <w:color w:val="auto"/>
          <w:sz w:val="24"/>
          <w:szCs w:val="24"/>
        </w:rPr>
        <w:t>高强度</w:t>
      </w:r>
      <w:r>
        <w:rPr>
          <w:rFonts w:hint="eastAsia" w:ascii="宋体" w:hAnsi="宋体" w:cs="宋体"/>
          <w:color w:val="auto"/>
          <w:sz w:val="24"/>
          <w:szCs w:val="24"/>
          <w:lang w:val="en-US" w:eastAsia="zh-CN"/>
        </w:rPr>
        <w:t>材质</w:t>
      </w:r>
      <w:r>
        <w:rPr>
          <w:rFonts w:hint="eastAsia" w:ascii="宋体" w:hAnsi="宋体" w:eastAsia="宋体" w:cs="宋体"/>
          <w:color w:val="auto"/>
          <w:sz w:val="24"/>
          <w:szCs w:val="24"/>
        </w:rPr>
        <w:t>提高运行稳定性。</w:t>
      </w:r>
      <w:r>
        <w:rPr>
          <w:rFonts w:hint="eastAsia" w:ascii="宋体" w:hAnsi="宋体" w:cs="宋体"/>
          <w:color w:val="auto"/>
          <w:sz w:val="24"/>
          <w:szCs w:val="24"/>
          <w:lang w:val="en-US" w:eastAsia="zh-CN"/>
        </w:rPr>
        <w:t>单车两侧设置可拆卸软连接装置。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.每辆单车车体间连接销轴和碰头插销采用防脱</w:t>
      </w:r>
      <w:r>
        <w:rPr>
          <w:rFonts w:hint="eastAsia" w:ascii="宋体" w:hAnsi="宋体" w:eastAsia="宋体" w:cs="宋体"/>
          <w:sz w:val="24"/>
          <w:szCs w:val="24"/>
          <w:lang w:val="en-US" w:eastAsia="zh-CN"/>
        </w:rPr>
        <w:t>装置</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列车</w:t>
      </w:r>
      <w:r>
        <w:rPr>
          <w:rFonts w:hint="eastAsia" w:ascii="宋体" w:hAnsi="宋体" w:eastAsia="宋体" w:cs="宋体"/>
          <w:sz w:val="24"/>
          <w:szCs w:val="24"/>
        </w:rPr>
        <w:t>所用的油缸及安装使用时须拆装的部件均安放在设备的两侧，以便于维修和更换。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.列车具备合理的电缆、液管铺设位置</w:t>
      </w:r>
      <w:r>
        <w:rPr>
          <w:rFonts w:hint="eastAsia" w:ascii="宋体" w:hAnsi="宋体" w:eastAsia="宋体" w:cs="宋体"/>
          <w:sz w:val="24"/>
          <w:szCs w:val="24"/>
          <w:lang w:eastAsia="zh-CN"/>
        </w:rPr>
        <w:t>，</w:t>
      </w:r>
      <w:r>
        <w:rPr>
          <w:rFonts w:hint="eastAsia" w:ascii="宋体" w:hAnsi="宋体" w:eastAsia="宋体" w:cs="宋体"/>
          <w:sz w:val="24"/>
          <w:szCs w:val="24"/>
        </w:rPr>
        <w:t>每辆设备列车设计上置式电缆桥架，高度可调，电缆托架加防护套，防止角棱磨损管线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电缆</w:t>
      </w:r>
      <w:r>
        <w:rPr>
          <w:rFonts w:hint="eastAsia" w:ascii="宋体" w:hAnsi="宋体" w:eastAsia="宋体" w:cs="宋体"/>
          <w:sz w:val="24"/>
          <w:szCs w:val="24"/>
        </w:rPr>
        <w:t>；并设置管线分离</w:t>
      </w:r>
      <w:r>
        <w:rPr>
          <w:rFonts w:hint="eastAsia" w:ascii="宋体" w:hAnsi="宋体" w:eastAsia="宋体" w:cs="宋体"/>
          <w:sz w:val="24"/>
          <w:szCs w:val="24"/>
          <w:lang w:val="en-US" w:eastAsia="zh-CN"/>
        </w:rPr>
        <w:t>固定</w:t>
      </w:r>
      <w:r>
        <w:rPr>
          <w:rFonts w:hint="eastAsia" w:ascii="宋体" w:hAnsi="宋体" w:eastAsia="宋体" w:cs="宋体"/>
          <w:sz w:val="24"/>
          <w:szCs w:val="24"/>
        </w:rPr>
        <w:t>装置。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.整列车底部设有防滑筋板，防止车辆下滑。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.列车组轨道采用</w:t>
      </w:r>
      <w:r>
        <w:rPr>
          <w:rFonts w:hint="eastAsia" w:ascii="宋体" w:hAnsi="宋体" w:eastAsia="宋体" w:cs="宋体"/>
          <w:color w:val="auto"/>
          <w:sz w:val="24"/>
          <w:szCs w:val="24"/>
        </w:rPr>
        <w:t>Q345高</w:t>
      </w:r>
      <w:r>
        <w:rPr>
          <w:rFonts w:hint="eastAsia" w:ascii="宋体" w:hAnsi="宋体" w:eastAsia="宋体" w:cs="宋体"/>
          <w:sz w:val="24"/>
          <w:szCs w:val="24"/>
        </w:rPr>
        <w:t>强钢板焊接</w:t>
      </w:r>
      <w:r>
        <w:rPr>
          <w:rFonts w:hint="eastAsia" w:ascii="宋体" w:hAnsi="宋体" w:eastAsia="宋体" w:cs="宋体"/>
          <w:sz w:val="24"/>
          <w:szCs w:val="24"/>
          <w:lang w:val="en-US" w:eastAsia="zh-CN"/>
        </w:rPr>
        <w:t>两端翘起</w:t>
      </w:r>
      <w:r>
        <w:rPr>
          <w:rFonts w:hint="eastAsia" w:ascii="宋体" w:hAnsi="宋体" w:cs="宋体"/>
          <w:sz w:val="24"/>
          <w:szCs w:val="24"/>
          <w:lang w:val="en-US" w:eastAsia="zh-CN"/>
        </w:rPr>
        <w:t>，</w:t>
      </w:r>
      <w:r>
        <w:rPr>
          <w:rFonts w:hint="eastAsia" w:ascii="宋体" w:hAnsi="宋体" w:eastAsia="宋体" w:cs="宋体"/>
          <w:sz w:val="24"/>
          <w:szCs w:val="24"/>
        </w:rPr>
        <w:t>与地面接触面积满足承载要求，需适应无硬化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高低起伏</w:t>
      </w:r>
      <w:r>
        <w:rPr>
          <w:rFonts w:hint="eastAsia" w:ascii="宋体" w:hAnsi="宋体" w:eastAsia="宋体" w:cs="宋体"/>
          <w:sz w:val="24"/>
          <w:szCs w:val="24"/>
        </w:rPr>
        <w:t>巷道运行，底部设有</w:t>
      </w:r>
      <w:r>
        <w:rPr>
          <w:rFonts w:hint="eastAsia" w:ascii="宋体" w:hAnsi="宋体" w:eastAsia="宋体" w:cs="宋体"/>
          <w:sz w:val="24"/>
          <w:szCs w:val="24"/>
          <w:lang w:val="en-US" w:eastAsia="zh-CN"/>
        </w:rPr>
        <w:t>高强</w:t>
      </w:r>
      <w:r>
        <w:rPr>
          <w:rFonts w:hint="eastAsia" w:ascii="宋体" w:hAnsi="宋体" w:eastAsia="宋体" w:cs="宋体"/>
          <w:sz w:val="24"/>
          <w:szCs w:val="24"/>
        </w:rPr>
        <w:t>防滑筋。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.所有管件、阀件</w:t>
      </w:r>
      <w:r>
        <w:rPr>
          <w:rFonts w:hint="eastAsia" w:ascii="宋体" w:hAnsi="宋体" w:eastAsia="宋体" w:cs="宋体"/>
          <w:sz w:val="24"/>
          <w:szCs w:val="24"/>
          <w:lang w:val="en-US" w:eastAsia="zh-CN"/>
        </w:rPr>
        <w:t>均为不锈钢，</w:t>
      </w:r>
      <w:r>
        <w:rPr>
          <w:rFonts w:hint="eastAsia" w:ascii="宋体" w:hAnsi="宋体" w:eastAsia="宋体" w:cs="宋体"/>
          <w:sz w:val="24"/>
          <w:szCs w:val="24"/>
        </w:rPr>
        <w:t>选用国内</w:t>
      </w:r>
      <w:r>
        <w:rPr>
          <w:rFonts w:hint="eastAsia" w:ascii="宋体" w:hAnsi="宋体" w:eastAsia="宋体" w:cs="宋体"/>
          <w:sz w:val="24"/>
          <w:szCs w:val="24"/>
          <w:lang w:val="en-US" w:eastAsia="zh-CN"/>
        </w:rPr>
        <w:t>一流</w:t>
      </w:r>
      <w:r>
        <w:rPr>
          <w:rFonts w:hint="eastAsia" w:ascii="宋体" w:hAnsi="宋体" w:eastAsia="宋体" w:cs="宋体"/>
          <w:sz w:val="24"/>
          <w:szCs w:val="24"/>
        </w:rPr>
        <w:t>名牌</w:t>
      </w:r>
      <w:r>
        <w:rPr>
          <w:rFonts w:hint="eastAsia" w:ascii="宋体" w:hAnsi="宋体" w:eastAsia="宋体" w:cs="宋体"/>
          <w:sz w:val="24"/>
          <w:szCs w:val="24"/>
          <w:lang w:val="en-US" w:eastAsia="zh-CN"/>
        </w:rPr>
        <w:t>产品</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rPr>
        <w:t>整列车不设置导轨，不设置车轮，避免滑车掉道等情况的发生。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车体</w:t>
      </w:r>
      <w:r>
        <w:rPr>
          <w:rFonts w:hint="eastAsia" w:ascii="宋体" w:hAnsi="宋体" w:eastAsia="宋体" w:cs="宋体"/>
          <w:color w:val="auto"/>
          <w:sz w:val="24"/>
          <w:szCs w:val="24"/>
          <w:lang w:val="en-US" w:eastAsia="zh-CN"/>
        </w:rPr>
        <w:t>采</w:t>
      </w:r>
      <w:r>
        <w:rPr>
          <w:rFonts w:hint="eastAsia" w:ascii="宋体" w:hAnsi="宋体" w:eastAsia="宋体" w:cs="宋体"/>
          <w:color w:val="auto"/>
          <w:sz w:val="24"/>
          <w:szCs w:val="24"/>
        </w:rPr>
        <w:t>用</w:t>
      </w:r>
      <w:r>
        <w:rPr>
          <w:rFonts w:hint="eastAsia" w:ascii="宋体" w:hAnsi="宋体" w:eastAsia="宋体" w:cs="宋体"/>
          <w:color w:val="auto"/>
          <w:sz w:val="24"/>
          <w:szCs w:val="24"/>
          <w:lang w:val="en-US" w:eastAsia="zh-CN"/>
        </w:rPr>
        <w:t>整体式结构</w:t>
      </w:r>
      <w:r>
        <w:rPr>
          <w:rFonts w:hint="eastAsia" w:ascii="宋体" w:hAnsi="宋体" w:eastAsia="宋体" w:cs="宋体"/>
          <w:color w:val="auto"/>
          <w:sz w:val="24"/>
          <w:szCs w:val="24"/>
        </w:rPr>
        <w:t>焊接，</w:t>
      </w:r>
      <w:r>
        <w:rPr>
          <w:rFonts w:hint="eastAsia" w:ascii="宋体" w:hAnsi="宋体" w:eastAsia="宋体" w:cs="宋体"/>
          <w:color w:val="auto"/>
          <w:sz w:val="24"/>
          <w:szCs w:val="24"/>
          <w:lang w:val="en-US" w:eastAsia="zh-CN"/>
        </w:rPr>
        <w:t>框架采用高强度矩形方管不小于350*80mm，厚度不小于6mm,</w:t>
      </w:r>
      <w:r>
        <w:rPr>
          <w:rFonts w:hint="eastAsia" w:ascii="宋体" w:hAnsi="宋体" w:eastAsia="宋体" w:cs="宋体"/>
          <w:color w:val="auto"/>
          <w:sz w:val="24"/>
          <w:szCs w:val="24"/>
        </w:rPr>
        <w:t>上表面铺设10mm厚的Q345高强钢板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每辆车按照长度设置两道10#槽钢固定机电设备</w:t>
      </w:r>
      <w:r>
        <w:rPr>
          <w:rFonts w:hint="eastAsia" w:ascii="宋体" w:hAnsi="宋体" w:eastAsia="宋体" w:cs="宋体"/>
          <w:color w:val="auto"/>
          <w:sz w:val="24"/>
          <w:szCs w:val="24"/>
        </w:rPr>
        <w:t>。面漆颜色整车为黑色，油缸为红色。</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w:t>
      </w:r>
      <w:r>
        <w:rPr>
          <w:rFonts w:hint="eastAsia" w:ascii="宋体" w:hAnsi="宋体" w:eastAsia="宋体" w:cs="宋体"/>
          <w:sz w:val="24"/>
          <w:szCs w:val="24"/>
        </w:rPr>
        <w:t>导向推杆随车自移，无需另设动力源，为保证其受力，必须采用高强钢板焊接，焊缝参考液压支架焊缝焊接要求，与地面接触面积满足承载要求，需适应无硬化巷道运行。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w:t>
      </w:r>
      <w:r>
        <w:rPr>
          <w:rFonts w:hint="eastAsia" w:ascii="宋体" w:hAnsi="宋体" w:eastAsia="宋体" w:cs="宋体"/>
          <w:sz w:val="24"/>
          <w:szCs w:val="24"/>
        </w:rPr>
        <w:t>每辆</w:t>
      </w:r>
      <w:r>
        <w:rPr>
          <w:rFonts w:hint="eastAsia" w:ascii="宋体" w:hAnsi="宋体" w:eastAsia="宋体" w:cs="宋体"/>
          <w:sz w:val="24"/>
          <w:szCs w:val="24"/>
          <w:lang w:val="en-US" w:eastAsia="zh-CN"/>
        </w:rPr>
        <w:t>车的</w:t>
      </w:r>
      <w:r>
        <w:rPr>
          <w:rFonts w:hint="eastAsia" w:ascii="宋体" w:hAnsi="宋体" w:eastAsia="宋体" w:cs="宋体"/>
          <w:sz w:val="24"/>
          <w:szCs w:val="24"/>
        </w:rPr>
        <w:t>驱动含两组抬底机构，</w:t>
      </w:r>
      <w:r>
        <w:rPr>
          <w:rFonts w:hint="eastAsia" w:ascii="宋体" w:hAnsi="宋体" w:cs="宋体"/>
          <w:sz w:val="24"/>
          <w:szCs w:val="24"/>
          <w:lang w:val="en-US" w:eastAsia="zh-CN"/>
        </w:rPr>
        <w:t>抬底千斤顶优选</w:t>
      </w:r>
      <w:r>
        <w:rPr>
          <w:rFonts w:hint="eastAsia" w:ascii="宋体" w:hAnsi="宋体" w:eastAsia="宋体" w:cs="宋体"/>
          <w:sz w:val="24"/>
          <w:szCs w:val="24"/>
        </w:rPr>
        <w:t>位于车体前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后</w:t>
      </w:r>
      <w:r>
        <w:rPr>
          <w:rFonts w:hint="eastAsia" w:ascii="宋体" w:hAnsi="宋体" w:eastAsia="宋体" w:cs="宋体"/>
          <w:sz w:val="24"/>
          <w:szCs w:val="24"/>
        </w:rPr>
        <w:t>端</w:t>
      </w:r>
      <w:r>
        <w:rPr>
          <w:rFonts w:hint="eastAsia" w:ascii="宋体" w:hAnsi="宋体" w:cs="宋体"/>
          <w:sz w:val="24"/>
          <w:szCs w:val="24"/>
          <w:lang w:val="en-US" w:eastAsia="zh-CN"/>
        </w:rPr>
        <w:t>两侧位置</w:t>
      </w:r>
      <w:r>
        <w:rPr>
          <w:rFonts w:hint="eastAsia" w:ascii="宋体" w:hAnsi="宋体" w:eastAsia="宋体" w:cs="宋体"/>
          <w:sz w:val="24"/>
          <w:szCs w:val="24"/>
        </w:rPr>
        <w:t>，抬底机构带滚动轮组，使车体抬起时，载荷压在导向推杆上，前行时为滚动摩擦，减少推移阻力；每辆驱动车含两组推移千斤顶，推移千斤顶</w:t>
      </w:r>
      <w:r>
        <w:rPr>
          <w:rFonts w:hint="eastAsia" w:ascii="宋体" w:hAnsi="宋体" w:cs="宋体"/>
          <w:sz w:val="24"/>
          <w:szCs w:val="24"/>
          <w:lang w:val="en-US" w:eastAsia="zh-CN"/>
        </w:rPr>
        <w:t>优选</w:t>
      </w:r>
      <w:r>
        <w:rPr>
          <w:rFonts w:hint="eastAsia" w:ascii="宋体" w:hAnsi="宋体" w:eastAsia="宋体" w:cs="宋体"/>
          <w:sz w:val="24"/>
          <w:szCs w:val="24"/>
        </w:rPr>
        <w:t>位于车体</w:t>
      </w:r>
      <w:r>
        <w:rPr>
          <w:rFonts w:hint="eastAsia" w:ascii="宋体" w:hAnsi="宋体" w:cs="宋体"/>
          <w:sz w:val="24"/>
          <w:szCs w:val="24"/>
          <w:lang w:val="en-US" w:eastAsia="zh-CN"/>
        </w:rPr>
        <w:t>两侧</w:t>
      </w:r>
      <w:r>
        <w:rPr>
          <w:rFonts w:hint="eastAsia" w:ascii="宋体" w:hAnsi="宋体" w:eastAsia="宋体" w:cs="宋体"/>
          <w:sz w:val="24"/>
          <w:szCs w:val="24"/>
        </w:rPr>
        <w:t>导向槽内，有效防止整列车跑偏</w:t>
      </w:r>
      <w:r>
        <w:rPr>
          <w:rFonts w:hint="eastAsia" w:ascii="宋体" w:hAnsi="宋体" w:eastAsia="宋体" w:cs="宋体"/>
          <w:sz w:val="24"/>
          <w:szCs w:val="24"/>
          <w:lang w:eastAsia="zh-CN"/>
        </w:rPr>
        <w:t>。</w:t>
      </w:r>
      <w:r>
        <w:rPr>
          <w:rFonts w:hint="eastAsia" w:ascii="宋体" w:hAnsi="宋体" w:eastAsia="宋体" w:cs="宋体"/>
          <w:sz w:val="24"/>
          <w:szCs w:val="24"/>
        </w:rPr>
        <w:t>列车放置设备平面距地面最大高度不大于</w:t>
      </w:r>
      <w:r>
        <w:rPr>
          <w:rFonts w:hint="eastAsia" w:ascii="宋体" w:hAnsi="宋体" w:eastAsia="宋体" w:cs="宋体"/>
          <w:sz w:val="24"/>
          <w:szCs w:val="24"/>
          <w:lang w:val="en-US" w:eastAsia="zh-CN"/>
        </w:rPr>
        <w:t>400</w:t>
      </w:r>
      <w:r>
        <w:rPr>
          <w:rFonts w:hint="eastAsia" w:ascii="宋体" w:hAnsi="宋体" w:eastAsia="宋体" w:cs="宋体"/>
          <w:sz w:val="24"/>
          <w:szCs w:val="24"/>
        </w:rPr>
        <w:t>mm。</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w:t>
      </w:r>
      <w:r>
        <w:rPr>
          <w:rFonts w:hint="eastAsia" w:ascii="宋体" w:hAnsi="宋体" w:eastAsia="宋体" w:cs="宋体"/>
          <w:sz w:val="24"/>
          <w:szCs w:val="24"/>
        </w:rPr>
        <w:t>单车通过联接在架体上的两种千斤顶（抬底千斤顶和推移千斤顶），可实现将放置在架体上的设备抬起</w:t>
      </w:r>
      <w:r>
        <w:rPr>
          <w:rFonts w:hint="eastAsia" w:ascii="宋体" w:hAnsi="宋体" w:eastAsia="宋体" w:cs="宋体"/>
          <w:sz w:val="24"/>
          <w:szCs w:val="24"/>
          <w:lang w:val="en-US" w:eastAsia="zh-CN"/>
        </w:rPr>
        <w:t>约</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0mm，并能自移步距</w:t>
      </w:r>
      <w:r>
        <w:rPr>
          <w:rFonts w:hint="eastAsia" w:ascii="宋体" w:hAnsi="宋体" w:eastAsia="宋体" w:cs="宋体"/>
          <w:sz w:val="24"/>
          <w:szCs w:val="24"/>
          <w:lang w:val="en-US" w:eastAsia="zh-CN"/>
        </w:rPr>
        <w:t>不小于</w:t>
      </w:r>
      <w:r>
        <w:rPr>
          <w:rFonts w:hint="eastAsia" w:ascii="宋体" w:hAnsi="宋体" w:eastAsia="宋体" w:cs="宋体"/>
          <w:sz w:val="24"/>
          <w:szCs w:val="24"/>
        </w:rPr>
        <w:t>900mm的功能，实现整个设备列车系统整体迁移，集中操作，不需要分段迁移，操作简单。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17.每个单车配置一个号码牌，固定在平板车下部的醒目位置，白底红字，编号以01开头，确保固定牢固可靠。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18.每节单车之间采用连接杆连接，适应高低起伏巷道能力强，且保证列车同步前移。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所有的车辆通过刚性铰接连接为一整体，单独拆开一节，可实现一节车的单独运输功能；串联在一起，亦可实现同时动作，同步运行。单车均有动力，便于以后不同工作面单车数量增减、任意编组每台也可单独使用运行。所有管路封闭放置在框架内，管路接口为DN接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20.电缆托架和车体采用管套式安装，安装完成后只需用螺栓定位，伸缩管可以根据使用高低的不同进行调节，电缆托架上方配置电缆固定装置。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21.支撑装置利用固定销配合高强度螺栓连接。机车前方利用多级千斤顶设置戗顶装置，防止机车在坡度较大的情况下出现下滑。</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单车</w:t>
      </w:r>
      <w:r>
        <w:rPr>
          <w:rFonts w:hint="eastAsia" w:ascii="宋体" w:hAnsi="宋体" w:eastAsia="宋体" w:cs="宋体"/>
          <w:b/>
          <w:bCs/>
          <w:sz w:val="28"/>
          <w:szCs w:val="28"/>
        </w:rPr>
        <w:t>主要技术参数</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参考</w:t>
      </w:r>
      <w:r>
        <w:rPr>
          <w:rFonts w:hint="eastAsia" w:ascii="宋体" w:hAnsi="宋体" w:eastAsia="宋体" w:cs="宋体"/>
          <w:b/>
          <w:bCs/>
          <w:sz w:val="28"/>
          <w:szCs w:val="28"/>
          <w:lang w:eastAsia="zh-CN"/>
        </w:rPr>
        <w:t>）</w:t>
      </w:r>
    </w:p>
    <w:tbl>
      <w:tblPr>
        <w:tblStyle w:val="12"/>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857"/>
        <w:gridCol w:w="2082"/>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57"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w:t>
            </w:r>
          </w:p>
        </w:tc>
        <w:tc>
          <w:tcPr>
            <w:tcW w:w="2082" w:type="dxa"/>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3083" w:type="dxa"/>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857"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额定工作</w:t>
            </w:r>
            <w:r>
              <w:rPr>
                <w:rFonts w:hint="eastAsia" w:ascii="宋体" w:hAnsi="宋体" w:eastAsia="宋体" w:cs="宋体"/>
                <w:sz w:val="24"/>
                <w:szCs w:val="24"/>
              </w:rPr>
              <w:t>压力</w:t>
            </w:r>
          </w:p>
        </w:tc>
        <w:tc>
          <w:tcPr>
            <w:tcW w:w="2082"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MPa</w:t>
            </w:r>
          </w:p>
        </w:tc>
        <w:tc>
          <w:tcPr>
            <w:tcW w:w="3083"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857"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装载量</w:t>
            </w:r>
          </w:p>
        </w:tc>
        <w:tc>
          <w:tcPr>
            <w:tcW w:w="2082"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t</w:t>
            </w:r>
          </w:p>
        </w:tc>
        <w:tc>
          <w:tcPr>
            <w:tcW w:w="3083"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color w:val="auto"/>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2857"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长度</w:t>
            </w:r>
          </w:p>
        </w:tc>
        <w:tc>
          <w:tcPr>
            <w:tcW w:w="2082"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mm</w:t>
            </w:r>
          </w:p>
        </w:tc>
        <w:tc>
          <w:tcPr>
            <w:tcW w:w="3083"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2857"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宽度</w:t>
            </w:r>
          </w:p>
        </w:tc>
        <w:tc>
          <w:tcPr>
            <w:tcW w:w="2082"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mm</w:t>
            </w:r>
          </w:p>
        </w:tc>
        <w:tc>
          <w:tcPr>
            <w:tcW w:w="3083"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2857"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高度</w:t>
            </w:r>
          </w:p>
        </w:tc>
        <w:tc>
          <w:tcPr>
            <w:tcW w:w="2082"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mm</w:t>
            </w:r>
          </w:p>
        </w:tc>
        <w:tc>
          <w:tcPr>
            <w:tcW w:w="3083"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2857"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牵引力</w:t>
            </w:r>
          </w:p>
        </w:tc>
        <w:tc>
          <w:tcPr>
            <w:tcW w:w="2082"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kN</w:t>
            </w:r>
          </w:p>
        </w:tc>
        <w:tc>
          <w:tcPr>
            <w:tcW w:w="3083"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2857"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推进力</w:t>
            </w:r>
          </w:p>
        </w:tc>
        <w:tc>
          <w:tcPr>
            <w:tcW w:w="2082"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kN</w:t>
            </w:r>
          </w:p>
        </w:tc>
        <w:tc>
          <w:tcPr>
            <w:tcW w:w="3083"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2857"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移动步距</w:t>
            </w:r>
          </w:p>
        </w:tc>
        <w:tc>
          <w:tcPr>
            <w:tcW w:w="2082"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mm</w:t>
            </w:r>
          </w:p>
        </w:tc>
        <w:tc>
          <w:tcPr>
            <w:tcW w:w="3083"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2857"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支撑力</w:t>
            </w:r>
          </w:p>
        </w:tc>
        <w:tc>
          <w:tcPr>
            <w:tcW w:w="2082"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kN</w:t>
            </w:r>
          </w:p>
        </w:tc>
        <w:tc>
          <w:tcPr>
            <w:tcW w:w="3083"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857"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支撑提升高度</w:t>
            </w:r>
          </w:p>
        </w:tc>
        <w:tc>
          <w:tcPr>
            <w:tcW w:w="2082"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mm</w:t>
            </w:r>
          </w:p>
        </w:tc>
        <w:tc>
          <w:tcPr>
            <w:tcW w:w="3083" w:type="dxa"/>
            <w:vAlign w:val="center"/>
          </w:tcPr>
          <w:p>
            <w:pPr>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857"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适应巷道角度</w:t>
            </w:r>
          </w:p>
        </w:tc>
        <w:tc>
          <w:tcPr>
            <w:tcW w:w="2082"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3083"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857"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列车组转弯形式</w:t>
            </w:r>
          </w:p>
        </w:tc>
        <w:tc>
          <w:tcPr>
            <w:tcW w:w="2082"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3083"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90°转弯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857"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控制方式</w:t>
            </w:r>
          </w:p>
        </w:tc>
        <w:tc>
          <w:tcPr>
            <w:tcW w:w="2082" w:type="dxa"/>
            <w:vAlign w:val="center"/>
          </w:tcPr>
          <w:p>
            <w:pPr>
              <w:adjustRightInd w:val="0"/>
              <w:snapToGrid w:val="0"/>
              <w:spacing w:line="360" w:lineRule="auto"/>
              <w:jc w:val="center"/>
              <w:rPr>
                <w:rFonts w:hint="eastAsia" w:ascii="宋体" w:hAnsi="宋体" w:eastAsia="宋体" w:cs="宋体"/>
                <w:sz w:val="24"/>
                <w:szCs w:val="24"/>
              </w:rPr>
            </w:pPr>
          </w:p>
        </w:tc>
        <w:tc>
          <w:tcPr>
            <w:tcW w:w="3083"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就地控制、远控、遥控功能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2857"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自重</w:t>
            </w:r>
          </w:p>
        </w:tc>
        <w:tc>
          <w:tcPr>
            <w:tcW w:w="2082"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kg</w:t>
            </w:r>
          </w:p>
        </w:tc>
        <w:tc>
          <w:tcPr>
            <w:tcW w:w="3083"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约</w:t>
            </w:r>
            <w:r>
              <w:rPr>
                <w:rFonts w:hint="eastAsia" w:ascii="宋体" w:hAnsi="宋体" w:cs="宋体"/>
                <w:color w:val="auto"/>
                <w:sz w:val="24"/>
                <w:szCs w:val="24"/>
                <w:lang w:val="en-US" w:eastAsia="zh-CN"/>
              </w:rPr>
              <w:t>2500</w:t>
            </w:r>
            <w:r>
              <w:rPr>
                <w:rFonts w:hint="eastAsia" w:ascii="宋体" w:hAnsi="宋体" w:eastAsia="宋体" w:cs="宋体"/>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2857"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支撑千斤顶</w:t>
            </w:r>
          </w:p>
        </w:tc>
        <w:tc>
          <w:tcPr>
            <w:tcW w:w="2082"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3083" w:type="dxa"/>
            <w:vAlign w:val="center"/>
          </w:tcPr>
          <w:p>
            <w:pPr>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Cs w:val="21"/>
                <w:lang w:val="en-US" w:eastAsia="zh-CN"/>
              </w:rPr>
              <w:t>Φ100-63</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77" w:type="dxa"/>
            <w:vAlign w:val="center"/>
          </w:tcPr>
          <w:p>
            <w:pPr>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857"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推移千斤顶</w:t>
            </w:r>
          </w:p>
        </w:tc>
        <w:tc>
          <w:tcPr>
            <w:tcW w:w="2082"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3083" w:type="dxa"/>
            <w:vAlign w:val="center"/>
          </w:tcPr>
          <w:p>
            <w:pPr>
              <w:adjustRightInd w:val="0"/>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Cs w:val="21"/>
                <w:lang w:val="en-US" w:eastAsia="zh-CN"/>
              </w:rPr>
              <w:t>Φ100-63</w:t>
            </w:r>
            <w:r>
              <w:rPr>
                <w:rFonts w:hint="eastAsia" w:ascii="宋体" w:hAnsi="宋体" w:eastAsia="宋体" w:cs="宋体"/>
                <w:color w:val="auto"/>
                <w:sz w:val="24"/>
                <w:szCs w:val="24"/>
                <w:lang w:val="en-US" w:eastAsia="zh-CN"/>
              </w:rPr>
              <w:t>）</w:t>
            </w:r>
          </w:p>
        </w:tc>
      </w:tr>
    </w:tbl>
    <w:p>
      <w:pPr>
        <w:spacing w:line="360" w:lineRule="auto"/>
        <w:rPr>
          <w:rFonts w:hint="eastAsia" w:ascii="宋体" w:hAnsi="宋体" w:eastAsia="宋体" w:cs="宋体"/>
          <w:b/>
          <w:sz w:val="24"/>
          <w:szCs w:val="24"/>
        </w:rPr>
      </w:pPr>
      <w:r>
        <w:rPr>
          <w:rFonts w:hint="eastAsia" w:ascii="宋体" w:hAnsi="宋体" w:eastAsia="宋体" w:cs="宋体"/>
          <w:b/>
          <w:bCs/>
          <w:sz w:val="28"/>
          <w:szCs w:val="28"/>
          <w:lang w:val="en-US" w:eastAsia="zh-CN"/>
        </w:rPr>
        <w:t>六、电缆支架车基本要求（参考）：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缆支架车安装在设备列车尾部至工作面超前支架处，前部机车通过连杆于设备列车相连，后部和超前支架相连，各个支架车之间通过柔性桥架连接，动力电缆、供回液胶管、控制线缆等。线路布置在柔性桥架上并可以安全可靠的固定，支架车应能够随着工作面的推移，将管路也能及时的推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2.整套电缆、胶管储存系统展开总长度≥60米。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3.迁移时保证电缆暂存装置轨道偏移量不超过200mm</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暂存装置设计轨距合理，且保证其强度及稳定性，顶部拖电缆胶管架强度满足要求，保证不会发生变形等现象，轮组加卡在轨道内部的轮爪，防止电缆暂存装置侧翻。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4.每辆列车设计上置式电缆桥架，高度可调，电缆托架加防护套，防止角棱磨损管线、电缆</w:t>
      </w:r>
      <w:r>
        <w:rPr>
          <w:rFonts w:hint="eastAsia" w:ascii="宋体" w:hAnsi="宋体" w:eastAsia="宋体" w:cs="宋体"/>
          <w:sz w:val="24"/>
          <w:szCs w:val="24"/>
          <w:lang w:val="en-US" w:eastAsia="zh-CN"/>
        </w:rPr>
        <w:t>，并设置管线分离固定装置。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5.整套系统不设动力部，一端与设备列车相连，跟随列车移动，另一端与超前支架相连，由液压支架推移前进。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与超前支架联接处应设万向联轴节，避免推偏电缆支架。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7.电缆支架车每架展开长度不小于5m，宽度1.2m。</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8.电缆支架车，架与架之间有防掉道措施。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9.框架采用高强度矩形方管不小于80*80mm，厚度不小于6mm,</w:t>
      </w:r>
      <w:r>
        <w:rPr>
          <w:rFonts w:hint="eastAsia" w:ascii="宋体" w:hAnsi="宋体" w:eastAsia="宋体" w:cs="宋体"/>
          <w:color w:val="auto"/>
          <w:sz w:val="24"/>
          <w:szCs w:val="24"/>
        </w:rPr>
        <w:t>上表面铺设</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mm厚的Q345高强钢板</w:t>
      </w:r>
      <w:r>
        <w:rPr>
          <w:rFonts w:hint="eastAsia" w:ascii="宋体" w:hAnsi="宋体" w:eastAsia="宋体" w:cs="宋体"/>
          <w:color w:val="auto"/>
          <w:sz w:val="24"/>
          <w:szCs w:val="24"/>
          <w:lang w:eastAsia="zh-CN"/>
        </w:rPr>
        <w:t>。</w:t>
      </w:r>
    </w:p>
    <w:p>
      <w:pPr>
        <w:pStyle w:val="2"/>
        <w:numPr>
          <w:ilvl w:val="1"/>
          <w:numId w:val="0"/>
        </w:numPr>
        <w:ind w:firstLine="481"/>
        <w:jc w:val="both"/>
        <w:rPr>
          <w:rFonts w:hint="eastAsia" w:ascii="宋体" w:hAnsi="宋体" w:cs="宋体"/>
          <w:b w:val="0"/>
          <w:color w:val="FF0000"/>
          <w:kern w:val="2"/>
          <w:sz w:val="24"/>
          <w:szCs w:val="24"/>
          <w:lang w:val="en-US" w:eastAsia="zh-CN" w:bidi="ar-SA"/>
        </w:rPr>
      </w:pPr>
      <w:r>
        <w:rPr>
          <w:rFonts w:hint="eastAsia" w:ascii="宋体" w:hAnsi="宋体" w:eastAsia="宋体" w:cs="宋体"/>
          <w:b w:val="0"/>
          <w:color w:val="auto"/>
          <w:kern w:val="2"/>
          <w:sz w:val="24"/>
          <w:szCs w:val="24"/>
          <w:lang w:val="en-US" w:eastAsia="zh-CN" w:bidi="ar-SA"/>
        </w:rPr>
        <w:t>10.配齐足够长度所需轨道</w:t>
      </w:r>
      <w:r>
        <w:rPr>
          <w:rFonts w:hint="eastAsia" w:ascii="宋体" w:hAnsi="宋体" w:cs="宋体"/>
          <w:b w:val="0"/>
          <w:color w:val="auto"/>
          <w:kern w:val="2"/>
          <w:sz w:val="24"/>
          <w:szCs w:val="24"/>
          <w:lang w:val="en-US" w:eastAsia="zh-CN" w:bidi="ar-SA"/>
        </w:rPr>
        <w:t>。</w:t>
      </w:r>
    </w:p>
    <w:p>
      <w:pPr>
        <w:pStyle w:val="2"/>
        <w:numPr>
          <w:ilvl w:val="1"/>
          <w:numId w:val="0"/>
        </w:numPr>
        <w:ind w:firstLine="481"/>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w:t>
      </w:r>
      <w:r>
        <w:rPr>
          <w:rFonts w:hint="eastAsia" w:ascii="宋体" w:hAnsi="宋体" w:eastAsia="宋体" w:cs="宋体"/>
          <w:b/>
          <w:bCs/>
          <w:sz w:val="24"/>
          <w:szCs w:val="24"/>
        </w:rPr>
        <w:t>主要技术要求：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1.列车以乳化液泵站为动力源，自带轨道，集成列车具有自移、行走调偏、防掉道等功能，实现整个设备列车的迈步式前移。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2.以乳化液为动力，以液压缸为执行元件，实现平板车和轨道的交替自移，要保证设备上下、左右移动的稳定性和安全性。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3.列车组必须具有调偏功能，有效解决在列车前移过程中距离煤帮或皮带机靠近的问题。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4.列车组采用</w:t>
      </w:r>
      <w:r>
        <w:rPr>
          <w:rFonts w:hint="eastAsia" w:ascii="宋体" w:hAnsi="宋体" w:cs="宋体"/>
          <w:sz w:val="24"/>
          <w:szCs w:val="24"/>
          <w:lang w:val="en-US" w:eastAsia="zh-CN"/>
        </w:rPr>
        <w:t>三一重装</w:t>
      </w:r>
      <w:r>
        <w:rPr>
          <w:rFonts w:hint="eastAsia" w:ascii="宋体" w:hAnsi="宋体" w:eastAsia="宋体" w:cs="宋体"/>
          <w:sz w:val="24"/>
          <w:szCs w:val="24"/>
          <w:lang w:val="en-US" w:eastAsia="zh-CN"/>
        </w:rPr>
        <w:t>或国内</w:t>
      </w:r>
      <w:r>
        <w:rPr>
          <w:rFonts w:hint="eastAsia" w:ascii="宋体" w:hAnsi="宋体" w:cs="宋体"/>
          <w:sz w:val="24"/>
          <w:szCs w:val="24"/>
          <w:lang w:val="en-US" w:eastAsia="zh-CN"/>
        </w:rPr>
        <w:t>其它知名品牌</w:t>
      </w:r>
      <w:r>
        <w:rPr>
          <w:rFonts w:hint="eastAsia" w:ascii="宋体" w:hAnsi="宋体" w:eastAsia="宋体" w:cs="宋体"/>
          <w:sz w:val="24"/>
          <w:szCs w:val="24"/>
          <w:lang w:val="en-US" w:eastAsia="zh-CN"/>
        </w:rPr>
        <w:t>电液控制系统，具有就地控制、远控、遥控功能。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5.电液控制系统遥控距离不小于20米。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.每辆列车设置可拆卸的LED照明灯灯杆。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列车系统采用液压闭锁及机械闭锁双重闭锁，列车运行过程中即使出现液压系统突然失压、碰头撕裂、连接板断裂也不会发生“跑车”事故。推移牵引缸两端分别与平板车和轨道硬连接，杜绝车体与轨道脱离跑车安全隐患，实现平板车和轨道的安全交替自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8.整套列车可不借助外力实现列车组的整体转弯实现90度转弯。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9.列车组电液控制系统可实现所有平板车集中控制，同时升降、统一动作，可实现电控和手动两种操作方式。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10.电液控制系统所有控制器应设有声光报警、本机闭锁、急停按钮，控制器和电控阀安装防护罩，防止人员误操作，且具有防淋水功能。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11.控制器显示菜单语言为中文，整套设备可手动、电控及遥控操作。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12.遥控器可实现控制器操作所有被控动作，遥控器设有紧急停止按钮，遥控操作时，原有的控制器按键操作功能需保留，作为应急控制方式。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13.遥控器使用距离≥15米，动作延迟≤100毫秒。</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14.具有通讯接口，RS485或以太网接口可接入集中控制系统，采集的工况数据可上传第三方，智能化通讯接口免费开放，软件终身免费升级。</w:t>
      </w:r>
    </w:p>
    <w:p>
      <w:pPr>
        <w:pStyle w:val="10"/>
        <w:spacing w:line="360" w:lineRule="auto"/>
        <w:ind w:left="0" w:leftChars="0"/>
        <w:outlineLvl w:val="0"/>
        <w:rPr>
          <w:rFonts w:hint="eastAsia" w:ascii="宋体" w:hAnsi="宋体" w:eastAsia="宋体" w:cs="宋体"/>
          <w:b/>
          <w:bCs/>
          <w:color w:val="auto"/>
          <w:sz w:val="28"/>
          <w:szCs w:val="28"/>
        </w:rPr>
      </w:pPr>
      <w:bookmarkStart w:id="1" w:name="_Toc383615168"/>
      <w:bookmarkStart w:id="2" w:name="_Toc384647362"/>
      <w:bookmarkStart w:id="3" w:name="_Toc383615101"/>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技术资料和图纸</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bookmarkStart w:id="4" w:name="_Toc377666262"/>
      <w:bookmarkStart w:id="5" w:name="_Toc377649501"/>
      <w:bookmarkStart w:id="6" w:name="_Toc377649871"/>
      <w:bookmarkStart w:id="7" w:name="_Toc377667851"/>
      <w:bookmarkStart w:id="8" w:name="_Toc377666399"/>
      <w:bookmarkStart w:id="9" w:name="_Toc377668018"/>
      <w:bookmarkStart w:id="10" w:name="_Toc377667356"/>
      <w:bookmarkStart w:id="11" w:name="_Toc377710710"/>
      <w:bookmarkStart w:id="12" w:name="_Toc377710600"/>
      <w:bookmarkStart w:id="13" w:name="_Toc384647363"/>
      <w:bookmarkStart w:id="14" w:name="_Toc377650104"/>
      <w:bookmarkStart w:id="15" w:name="_Toc383615102"/>
      <w:bookmarkStart w:id="16" w:name="_Toc377667870"/>
      <w:bookmarkStart w:id="17" w:name="_Toc377668376"/>
      <w:bookmarkStart w:id="18" w:name="_Toc383615169"/>
      <w:bookmarkStart w:id="19" w:name="_Toc377666319"/>
      <w:bookmarkStart w:id="20" w:name="_Toc377710747"/>
      <w:bookmarkStart w:id="21" w:name="_Toc377668217"/>
      <w:bookmarkStart w:id="22" w:name="_Toc377667814"/>
      <w:r>
        <w:rPr>
          <w:rFonts w:hint="eastAsia" w:ascii="宋体" w:hAnsi="宋体" w:eastAsia="宋体" w:cs="宋体"/>
          <w:color w:val="auto"/>
          <w:sz w:val="24"/>
          <w:szCs w:val="24"/>
          <w:lang w:val="en-US" w:eastAsia="zh-CN"/>
        </w:rPr>
        <w:t>1.提供产品整、单车</w:t>
      </w:r>
      <w:r>
        <w:rPr>
          <w:rFonts w:hint="eastAsia" w:ascii="宋体" w:hAnsi="宋体" w:cs="宋体"/>
          <w:color w:val="auto"/>
          <w:sz w:val="24"/>
          <w:szCs w:val="24"/>
          <w:lang w:val="en-US" w:eastAsia="zh-CN"/>
        </w:rPr>
        <w:t>、附件</w:t>
      </w:r>
      <w:r>
        <w:rPr>
          <w:rFonts w:hint="eastAsia" w:ascii="宋体" w:hAnsi="宋体" w:eastAsia="宋体" w:cs="宋体"/>
          <w:color w:val="auto"/>
          <w:sz w:val="24"/>
          <w:szCs w:val="24"/>
          <w:lang w:val="en-US" w:eastAsia="zh-CN"/>
        </w:rPr>
        <w:t>和电液控制系统煤安标志证、出厂性能试验报告、产品合格证书，</w:t>
      </w:r>
      <w:r>
        <w:rPr>
          <w:rFonts w:hint="eastAsia" w:ascii="宋体" w:hAnsi="宋体" w:cs="宋体"/>
          <w:color w:val="auto"/>
          <w:sz w:val="24"/>
          <w:szCs w:val="24"/>
          <w:lang w:val="en-US" w:eastAsia="zh-CN"/>
        </w:rPr>
        <w:t>盖红章</w:t>
      </w:r>
      <w:r>
        <w:rPr>
          <w:rFonts w:hint="eastAsia" w:ascii="宋体" w:hAnsi="宋体" w:eastAsia="宋体" w:cs="宋体"/>
          <w:color w:val="auto"/>
          <w:sz w:val="24"/>
          <w:szCs w:val="24"/>
          <w:lang w:val="en-US" w:eastAsia="zh-CN"/>
        </w:rPr>
        <w:t>装订成册。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2.随机带电气试验报告一份，技术资料包括说明书、电气原理图、电气接线图、用户手册、机械装配图纸、拆卸运输安装说明书、备件清单各四份。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本规格书中涉及到的所有附属产品的随机资料：说明书、图纸，纳入2022《全国工业产品生产许可证目录》管理的、国家“3C”认证目录的产品证书，证书必须全部有生产单位红色印章。小的外协件原厂家无法盖红章的，提前7天书面报矿方，经过书面允许的，可以盖中标方的红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入运行之日起正常使用一年或到货18个月，在质保期内有产品质量问题，厂家免费维修，质保期外，免费技术服务。厂家在接到用户服务请求时，应在2小时内给予用户答复。经厂家指导后用户不能排除故障时，厂家需及时（4小时内）派人到现场进行</w:t>
      </w:r>
      <w:r>
        <w:rPr>
          <w:rFonts w:hint="eastAsia" w:ascii="宋体" w:hAnsi="宋体" w:cs="宋体"/>
          <w:sz w:val="24"/>
          <w:szCs w:val="24"/>
          <w:lang w:val="en-US" w:eastAsia="zh-CN"/>
        </w:rPr>
        <w:t>维修处理</w:t>
      </w:r>
      <w:r>
        <w:rPr>
          <w:rFonts w:hint="eastAsia" w:ascii="宋体" w:hAnsi="宋体" w:eastAsia="宋体" w:cs="宋体"/>
          <w:sz w:val="24"/>
          <w:szCs w:val="24"/>
          <w:lang w:val="en-US" w:eastAsia="zh-CN"/>
        </w:rPr>
        <w:t>；</w:t>
      </w:r>
    </w:p>
    <w:p>
      <w:pPr>
        <w:pStyle w:val="2"/>
        <w:numPr>
          <w:ilvl w:val="1"/>
          <w:numId w:val="0"/>
        </w:numPr>
        <w:jc w:val="both"/>
        <w:rPr>
          <w:rFonts w:hint="eastAsia" w:ascii="宋体" w:hAnsi="宋体" w:eastAsia="宋体" w:cs="宋体"/>
          <w:b w:val="0"/>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b w:val="0"/>
          <w:kern w:val="2"/>
          <w:sz w:val="24"/>
          <w:szCs w:val="24"/>
          <w:lang w:val="en-US" w:eastAsia="zh-CN" w:bidi="ar-SA"/>
        </w:rPr>
        <w:t xml:space="preserve"> 5.免费提供专用工具一套。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6.随机备件不少于投标总价3%的部件，具体配件和矿方协商确定。</w:t>
      </w:r>
    </w:p>
    <w:p>
      <w:pPr>
        <w:pStyle w:val="3"/>
        <w:keepLines w:val="0"/>
        <w:numPr>
          <w:ilvl w:val="0"/>
          <w:numId w:val="0"/>
        </w:numPr>
        <w:tabs>
          <w:tab w:val="left" w:pos="4095"/>
        </w:tabs>
        <w:spacing w:line="580" w:lineRule="exact"/>
        <w:rPr>
          <w:rFonts w:hint="eastAsia" w:ascii="宋体" w:hAnsi="宋体" w:eastAsia="宋体" w:cs="宋体"/>
          <w:sz w:val="28"/>
          <w:szCs w:val="28"/>
        </w:rPr>
      </w:pPr>
      <w:r>
        <w:rPr>
          <w:rFonts w:hint="eastAsia" w:ascii="宋体" w:hAnsi="宋体" w:eastAsia="宋体" w:cs="宋体"/>
          <w:sz w:val="28"/>
          <w:szCs w:val="28"/>
          <w:lang w:val="en-US" w:eastAsia="zh-CN"/>
        </w:rPr>
        <w:t>九</w:t>
      </w:r>
      <w:r>
        <w:rPr>
          <w:rFonts w:hint="eastAsia" w:ascii="宋体" w:hAnsi="宋体" w:eastAsia="宋体" w:cs="宋体"/>
          <w:sz w:val="28"/>
          <w:szCs w:val="28"/>
          <w:lang w:eastAsia="zh-CN"/>
        </w:rPr>
        <w:t>、</w:t>
      </w:r>
      <w:r>
        <w:rPr>
          <w:rFonts w:hint="eastAsia" w:ascii="宋体" w:hAnsi="宋体" w:eastAsia="宋体" w:cs="宋体"/>
          <w:sz w:val="28"/>
          <w:szCs w:val="28"/>
        </w:rPr>
        <w:t>验收</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sz w:val="24"/>
          <w:szCs w:val="24"/>
        </w:rPr>
        <w:t xml:space="preserve"> </w:t>
      </w:r>
      <w:r>
        <w:rPr>
          <w:rFonts w:hint="eastAsia" w:ascii="宋体" w:hAnsi="宋体" w:eastAsia="宋体" w:cs="宋体"/>
          <w:sz w:val="24"/>
          <w:szCs w:val="24"/>
          <w:lang w:val="en-US" w:eastAsia="zh-CN"/>
        </w:rPr>
        <w:t>1.检验标准：技术规格书的规定要求，最新国家标准</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行业标准。各标准之间存在差异时，按最高标准执行。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2.设备到货时供方随机通过出厂检验报告，产品合格证，成套供货清单及装</w:t>
      </w:r>
      <w:bookmarkStart w:id="23" w:name="_Toc383615103"/>
      <w:bookmarkStart w:id="24" w:name="_Toc384647364"/>
      <w:bookmarkStart w:id="25" w:name="_Toc383615170"/>
      <w:r>
        <w:rPr>
          <w:rFonts w:hint="eastAsia" w:ascii="宋体" w:hAnsi="宋体" w:eastAsia="宋体" w:cs="宋体"/>
          <w:sz w:val="24"/>
          <w:szCs w:val="24"/>
          <w:lang w:val="en-US" w:eastAsia="zh-CN"/>
        </w:rPr>
        <w:t>箱单。设备在井下稳定运行后双方进行验收，经检验达到设计要求及有关验收标准时为最终验收。</w:t>
      </w:r>
    </w:p>
    <w:p>
      <w:pPr>
        <w:pStyle w:val="10"/>
        <w:spacing w:line="360" w:lineRule="auto"/>
        <w:ind w:left="0" w:leftChars="0"/>
        <w:outlineLvl w:val="0"/>
        <w:rPr>
          <w:rFonts w:hint="eastAsia" w:ascii="宋体" w:hAnsi="宋体" w:eastAsia="宋体" w:cs="宋体"/>
          <w:b/>
          <w:sz w:val="28"/>
          <w:szCs w:val="28"/>
        </w:rPr>
      </w:pPr>
      <w:r>
        <w:rPr>
          <w:rFonts w:hint="eastAsia" w:ascii="宋体" w:hAnsi="宋体" w:eastAsia="宋体" w:cs="宋体"/>
          <w:b/>
          <w:sz w:val="28"/>
          <w:szCs w:val="28"/>
          <w:lang w:val="en-US" w:eastAsia="zh-CN"/>
        </w:rPr>
        <w:t>十</w:t>
      </w:r>
      <w:r>
        <w:rPr>
          <w:rFonts w:hint="eastAsia" w:ascii="宋体" w:hAnsi="宋体" w:eastAsia="宋体" w:cs="宋体"/>
          <w:b/>
          <w:sz w:val="28"/>
          <w:szCs w:val="28"/>
          <w:lang w:eastAsia="zh-CN"/>
        </w:rPr>
        <w:t>、</w:t>
      </w:r>
      <w:r>
        <w:rPr>
          <w:rFonts w:hint="eastAsia" w:ascii="宋体" w:hAnsi="宋体" w:eastAsia="宋体" w:cs="宋体"/>
          <w:b/>
          <w:sz w:val="28"/>
          <w:szCs w:val="28"/>
        </w:rPr>
        <w:t>安装、调试、试运转及培训</w:t>
      </w:r>
      <w:bookmarkEnd w:id="23"/>
      <w:bookmarkEnd w:id="24"/>
      <w:bookmarkEnd w:id="25"/>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bookmarkStart w:id="26" w:name="_Toc377710602"/>
      <w:bookmarkStart w:id="27" w:name="_Toc377668378"/>
      <w:bookmarkStart w:id="28" w:name="_Toc377666264"/>
      <w:bookmarkStart w:id="29" w:name="_Toc384647365"/>
      <w:bookmarkStart w:id="30" w:name="_Toc377710712"/>
      <w:bookmarkStart w:id="31" w:name="_Toc377667358"/>
      <w:bookmarkStart w:id="32" w:name="_Toc377668219"/>
      <w:bookmarkStart w:id="33" w:name="_Toc377649503"/>
      <w:bookmarkStart w:id="34" w:name="_Toc377667816"/>
      <w:bookmarkStart w:id="35" w:name="_Toc377668020"/>
      <w:bookmarkStart w:id="36" w:name="_Toc377649873"/>
      <w:bookmarkStart w:id="37" w:name="_Toc377666401"/>
      <w:bookmarkStart w:id="38" w:name="_Toc377710749"/>
      <w:bookmarkStart w:id="39" w:name="_Toc383615104"/>
      <w:bookmarkStart w:id="40" w:name="_Toc377667853"/>
      <w:bookmarkStart w:id="41" w:name="_Toc383615171"/>
      <w:bookmarkStart w:id="42" w:name="_Toc377667872"/>
      <w:bookmarkStart w:id="43" w:name="_Toc377666321"/>
      <w:r>
        <w:rPr>
          <w:rFonts w:hint="eastAsia" w:ascii="宋体" w:hAnsi="宋体" w:eastAsia="宋体" w:cs="宋体"/>
          <w:sz w:val="24"/>
          <w:szCs w:val="24"/>
          <w:lang w:val="en-US" w:eastAsia="zh-CN"/>
        </w:rPr>
        <w:t>1.投标方负责招标方到工厂进行中间生产期间的检查验收，投标方应积极协助。投标方负责</w:t>
      </w:r>
      <w:r>
        <w:rPr>
          <w:rFonts w:hint="eastAsia" w:ascii="宋体" w:hAnsi="宋体" w:cs="宋体"/>
          <w:sz w:val="24"/>
          <w:szCs w:val="24"/>
          <w:lang w:val="en-US" w:eastAsia="zh-CN"/>
        </w:rPr>
        <w:t>使用单位</w:t>
      </w:r>
      <w:r>
        <w:rPr>
          <w:rFonts w:hint="eastAsia" w:ascii="宋体" w:hAnsi="宋体" w:eastAsia="宋体" w:cs="宋体"/>
          <w:sz w:val="24"/>
          <w:szCs w:val="24"/>
          <w:lang w:val="en-US" w:eastAsia="zh-CN"/>
        </w:rPr>
        <w:t>到工厂进行技术培训。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备到货后，投标方按用户通知日期派遣有经验并身体状况良好的工程技术人员到现场指导设备的安装、调试、试运行。投标方技术人员的指导必须是正确的，如果出现由于非正确技术指导而造成的损失，投标方将负责免费维修、更换或补偿损失部分。投标方应提供所有的关于装配与调试所用的专用工具。</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Pr>
        <w:spacing w:line="560" w:lineRule="exact"/>
        <w:textAlignment w:val="baseline"/>
        <w:outlineLvl w:val="0"/>
        <w:rPr>
          <w:rFonts w:hint="eastAsia" w:ascii="宋体" w:hAnsi="宋体" w:eastAsia="宋体" w:cs="宋体"/>
          <w:b/>
          <w:sz w:val="28"/>
          <w:szCs w:val="28"/>
        </w:rPr>
      </w:pPr>
      <w:bookmarkStart w:id="44" w:name="_Toc377666403"/>
      <w:bookmarkStart w:id="45" w:name="_Toc377710604"/>
      <w:bookmarkStart w:id="46" w:name="_Toc377666266"/>
      <w:bookmarkStart w:id="47" w:name="_Toc377666323"/>
      <w:bookmarkStart w:id="48" w:name="_Toc384647367"/>
      <w:bookmarkStart w:id="49" w:name="_Toc377668380"/>
      <w:bookmarkStart w:id="50" w:name="_Toc377650107"/>
      <w:bookmarkStart w:id="51" w:name="_Toc377710751"/>
      <w:bookmarkStart w:id="52" w:name="_Toc383615106"/>
      <w:bookmarkStart w:id="53" w:name="_Toc383615173"/>
      <w:bookmarkStart w:id="54" w:name="_Toc377668221"/>
      <w:bookmarkStart w:id="55" w:name="_Toc377668022"/>
      <w:bookmarkStart w:id="56" w:name="_Toc377667818"/>
      <w:bookmarkStart w:id="57" w:name="_Toc377667360"/>
      <w:bookmarkStart w:id="58" w:name="_Toc377667855"/>
      <w:bookmarkStart w:id="59" w:name="_Toc377710714"/>
      <w:bookmarkStart w:id="60" w:name="_Toc377649874"/>
      <w:bookmarkStart w:id="61" w:name="_Toc377649504"/>
      <w:bookmarkStart w:id="62" w:name="_Toc377667874"/>
      <w:r>
        <w:rPr>
          <w:rFonts w:hint="eastAsia" w:ascii="宋体" w:hAnsi="宋体" w:eastAsia="宋体" w:cs="宋体"/>
          <w:b/>
          <w:sz w:val="28"/>
          <w:szCs w:val="28"/>
        </w:rPr>
        <w:t>十</w:t>
      </w:r>
      <w:r>
        <w:rPr>
          <w:rFonts w:hint="eastAsia" w:ascii="宋体" w:hAnsi="宋体" w:eastAsia="宋体" w:cs="宋体"/>
          <w:b/>
          <w:sz w:val="28"/>
          <w:szCs w:val="28"/>
          <w:lang w:val="en-US" w:eastAsia="zh-CN"/>
        </w:rPr>
        <w:t>一、</w:t>
      </w:r>
      <w:r>
        <w:rPr>
          <w:rFonts w:hint="eastAsia" w:ascii="宋体" w:hAnsi="宋体" w:eastAsia="宋体" w:cs="宋体"/>
          <w:b/>
          <w:sz w:val="28"/>
          <w:szCs w:val="28"/>
        </w:rPr>
        <w:t>包装和运输</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1.投标方负责设备的包装、运输费用，并卸货到指定地点。设备的包装应能适应境内的运输及气候变化。投标方应把小型设备、配件和电器元件包装在集装箱内。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2.应标明运输货物的重量、重心、运输（或吊装）位置，方便安装吊索来卸货。如果安装额外的吊索不安全，应提供附带的吊索、吊环螺栓或起吊设施，用以方便处理。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3.在每个包装箱内，应附带一份详细的装箱清单。</w:t>
      </w:r>
    </w:p>
    <w:p>
      <w:pPr>
        <w:pStyle w:val="6"/>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4.交货期：合同签订后30日内。交货地点：微矿集团崔庄煤矿。</w:t>
      </w:r>
    </w:p>
    <w:p>
      <w:pPr>
        <w:rPr>
          <w:rFonts w:hint="eastAsia" w:ascii="宋体" w:hAnsi="宋体" w:eastAsia="宋体" w:cs="宋体"/>
          <w:b/>
          <w:bCs/>
          <w:color w:val="auto"/>
          <w:sz w:val="28"/>
          <w:szCs w:val="28"/>
          <w:lang w:val="en-US" w:eastAsia="zh-CN"/>
        </w:rPr>
      </w:pPr>
    </w:p>
    <w:p>
      <w:pPr>
        <w:pStyle w:val="2"/>
        <w:numPr>
          <w:ilvl w:val="1"/>
          <w:numId w:val="0"/>
        </w:numPr>
        <w:ind w:firstLine="4819" w:firstLineChars="2000"/>
        <w:jc w:val="both"/>
        <w:rPr>
          <w:rFonts w:hint="default" w:ascii="宋体" w:hAnsi="宋体" w:cs="宋体"/>
          <w:b/>
          <w:bCs/>
          <w:color w:val="auto"/>
          <w:lang w:val="en-US" w:eastAsia="zh-CN"/>
        </w:rPr>
      </w:pPr>
      <w:r>
        <w:rPr>
          <w:rFonts w:hint="eastAsia" w:ascii="宋体" w:hAnsi="宋体" w:cs="宋体"/>
          <w:b/>
          <w:bCs/>
          <w:color w:val="auto"/>
          <w:lang w:val="en-US" w:eastAsia="zh-CN"/>
        </w:rPr>
        <w:t>签名：</w:t>
      </w:r>
    </w:p>
    <w:p>
      <w:pPr>
        <w:pStyle w:val="2"/>
        <w:numPr>
          <w:ilvl w:val="1"/>
          <w:numId w:val="0"/>
        </w:numPr>
        <w:ind w:firstLine="4819" w:firstLineChars="2000"/>
        <w:jc w:val="both"/>
        <w:rPr>
          <w:rFonts w:hint="eastAsia" w:ascii="宋体" w:hAnsi="宋体" w:cs="宋体"/>
          <w:b/>
          <w:bCs/>
          <w:color w:val="auto"/>
          <w:lang w:val="en-US" w:eastAsia="zh-CN"/>
        </w:rPr>
      </w:pPr>
    </w:p>
    <w:p>
      <w:pPr>
        <w:pStyle w:val="2"/>
        <w:numPr>
          <w:ilvl w:val="1"/>
          <w:numId w:val="0"/>
        </w:numPr>
        <w:ind w:firstLine="4819" w:firstLineChars="2000"/>
        <w:jc w:val="both"/>
        <w:rPr>
          <w:rFonts w:hint="eastAsia" w:ascii="宋体" w:hAnsi="宋体" w:cs="宋体"/>
          <w:b/>
          <w:bCs/>
          <w:color w:val="auto"/>
          <w:lang w:val="en-US" w:eastAsia="zh-CN"/>
        </w:rPr>
      </w:pPr>
    </w:p>
    <w:p>
      <w:pPr>
        <w:pStyle w:val="2"/>
        <w:numPr>
          <w:ilvl w:val="1"/>
          <w:numId w:val="0"/>
        </w:numPr>
        <w:ind w:firstLine="4819" w:firstLineChars="2000"/>
        <w:jc w:val="both"/>
        <w:rPr>
          <w:rFonts w:hint="eastAsia" w:ascii="宋体" w:hAnsi="宋体" w:cs="宋体"/>
          <w:b/>
          <w:bCs/>
          <w:color w:val="auto"/>
          <w:lang w:val="en-US" w:eastAsia="zh-CN"/>
        </w:rPr>
      </w:pPr>
      <w:r>
        <w:rPr>
          <w:rFonts w:hint="eastAsia" w:ascii="宋体" w:hAnsi="宋体" w:cs="宋体"/>
          <w:b/>
          <w:bCs/>
          <w:color w:val="auto"/>
          <w:lang w:val="en-US" w:eastAsia="zh-CN"/>
        </w:rPr>
        <w:t>微山湖矿业集团崔庄煤矿</w:t>
      </w:r>
    </w:p>
    <w:p>
      <w:pPr>
        <w:rPr>
          <w:rFonts w:hint="default"/>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altName w:val="黑体"/>
    <w:panose1 w:val="00000000000000000000"/>
    <w:charset w:val="86"/>
    <w:family w:val="auto"/>
    <w:pitch w:val="default"/>
    <w:sig w:usb0="00000000" w:usb1="00000000" w:usb2="00000000" w:usb3="00000000" w:csb0="00040000" w:csb1="00000000"/>
  </w:font>
  <w:font w:name="CID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CB58E"/>
    <w:multiLevelType w:val="singleLevel"/>
    <w:tmpl w:val="FF0CB58E"/>
    <w:lvl w:ilvl="0" w:tentative="0">
      <w:start w:val="4"/>
      <w:numFmt w:val="chineseCounting"/>
      <w:suff w:val="nothing"/>
      <w:lvlText w:val="%1、"/>
      <w:lvlJc w:val="left"/>
      <w:rPr>
        <w:rFonts w:hint="eastAsia"/>
      </w:rPr>
    </w:lvl>
  </w:abstractNum>
  <w:abstractNum w:abstractNumId="1">
    <w:nsid w:val="2F000027"/>
    <w:multiLevelType w:val="multilevel"/>
    <w:tmpl w:val="2F000027"/>
    <w:lvl w:ilvl="0" w:tentative="0">
      <w:start w:val="1"/>
      <w:numFmt w:val="decimal"/>
      <w:pStyle w:val="3"/>
      <w:lvlText w:val="%1"/>
      <w:lvlJc w:val="left"/>
      <w:pPr>
        <w:ind w:firstLine="0"/>
        <w:jc w:val="both"/>
      </w:pPr>
      <w:rPr>
        <w:w w:val="100"/>
        <w:sz w:val="20"/>
        <w:szCs w:val="20"/>
        <w:shd w:val="clear" w:color="auto" w:fill="auto"/>
      </w:rPr>
    </w:lvl>
    <w:lvl w:ilvl="1" w:tentative="0">
      <w:start w:val="1"/>
      <w:numFmt w:val="decimal"/>
      <w:pStyle w:val="2"/>
      <w:lvlText w:val="%1.%2"/>
      <w:lvlJc w:val="left"/>
      <w:pPr>
        <w:ind w:firstLine="0"/>
        <w:jc w:val="both"/>
      </w:pPr>
      <w:rPr>
        <w:w w:val="100"/>
        <w:sz w:val="20"/>
        <w:szCs w:val="20"/>
        <w:shd w:val="clear" w:color="auto" w:fill="auto"/>
      </w:rPr>
    </w:lvl>
    <w:lvl w:ilvl="2" w:tentative="0">
      <w:start w:val="1"/>
      <w:numFmt w:val="decimal"/>
      <w:lvlText w:val="%1.%2.%3"/>
      <w:lvlJc w:val="left"/>
      <w:pPr>
        <w:ind w:firstLine="0"/>
        <w:jc w:val="both"/>
      </w:pPr>
      <w:rPr>
        <w:w w:val="100"/>
        <w:sz w:val="20"/>
        <w:szCs w:val="20"/>
        <w:shd w:val="clear" w:color="auto" w:fill="auto"/>
      </w:rPr>
    </w:lvl>
    <w:lvl w:ilvl="3" w:tentative="0">
      <w:start w:val="1"/>
      <w:numFmt w:val="decimal"/>
      <w:lvlText w:val="%1.%2.%3.%4"/>
      <w:lvlJc w:val="left"/>
      <w:pPr>
        <w:ind w:firstLine="0"/>
        <w:jc w:val="both"/>
      </w:pPr>
      <w:rPr>
        <w:w w:val="100"/>
        <w:sz w:val="20"/>
        <w:szCs w:val="20"/>
        <w:shd w:val="clear" w:color="auto" w:fill="auto"/>
      </w:rPr>
    </w:lvl>
    <w:lvl w:ilvl="4" w:tentative="0">
      <w:start w:val="1"/>
      <w:numFmt w:val="decimal"/>
      <w:lvlText w:val="%1.%2.%3.%4.%5"/>
      <w:lvlJc w:val="left"/>
      <w:pPr>
        <w:ind w:firstLine="0"/>
        <w:jc w:val="both"/>
      </w:pPr>
      <w:rPr>
        <w:w w:val="100"/>
        <w:sz w:val="20"/>
        <w:szCs w:val="20"/>
        <w:shd w:val="clear" w:color="auto" w:fill="auto"/>
      </w:rPr>
    </w:lvl>
    <w:lvl w:ilvl="5" w:tentative="0">
      <w:start w:val="1"/>
      <w:numFmt w:val="decimal"/>
      <w:lvlText w:val="%1.%2.%3.%4.%5.%6"/>
      <w:lvlJc w:val="left"/>
      <w:pPr>
        <w:ind w:firstLine="0"/>
        <w:jc w:val="both"/>
      </w:pPr>
      <w:rPr>
        <w:w w:val="100"/>
        <w:sz w:val="20"/>
        <w:szCs w:val="20"/>
        <w:shd w:val="clear" w:color="auto" w:fill="auto"/>
      </w:rPr>
    </w:lvl>
    <w:lvl w:ilvl="6" w:tentative="0">
      <w:start w:val="1"/>
      <w:numFmt w:val="decimal"/>
      <w:lvlRestart w:val="3"/>
      <w:lvlText w:val="%7."/>
      <w:lvlJc w:val="left"/>
      <w:pPr>
        <w:ind w:left="680" w:hanging="340"/>
        <w:jc w:val="both"/>
      </w:pPr>
      <w:rPr>
        <w:w w:val="100"/>
        <w:sz w:val="20"/>
        <w:szCs w:val="20"/>
        <w:shd w:val="clear" w:color="auto" w:fill="auto"/>
      </w:rPr>
    </w:lvl>
    <w:lvl w:ilvl="7" w:tentative="0">
      <w:start w:val="1"/>
      <w:numFmt w:val="lowerLetter"/>
      <w:lvlText w:val="%8)"/>
      <w:lvlJc w:val="left"/>
      <w:pPr>
        <w:ind w:left="1077" w:hanging="340"/>
        <w:jc w:val="both"/>
      </w:pPr>
      <w:rPr>
        <w:w w:val="100"/>
        <w:sz w:val="20"/>
        <w:szCs w:val="20"/>
        <w:shd w:val="clear" w:color="auto" w:fill="auto"/>
      </w:rPr>
    </w:lvl>
    <w:lvl w:ilvl="8" w:tentative="0">
      <w:start w:val="1"/>
      <w:numFmt w:val="lowerRoman"/>
      <w:lvlText w:val="%9."/>
      <w:lvlJc w:val="right"/>
      <w:pPr>
        <w:ind w:left="1644" w:hanging="170"/>
        <w:jc w:val="both"/>
      </w:pPr>
      <w:rPr>
        <w:w w:val="100"/>
        <w:sz w:val="20"/>
        <w:szCs w:val="20"/>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YmRhZTczM2Q1NzU3Njc2NTgyNjJhODJiNTk5NzUifQ=="/>
    <w:docVar w:name="KSO_WPS_MARK_KEY" w:val="b439ec4d-0b55-466e-8da5-59ca1cb0dbfa"/>
  </w:docVars>
  <w:rsids>
    <w:rsidRoot w:val="3EC40485"/>
    <w:rsid w:val="002056D5"/>
    <w:rsid w:val="00521654"/>
    <w:rsid w:val="0066281E"/>
    <w:rsid w:val="00773916"/>
    <w:rsid w:val="008B0E1A"/>
    <w:rsid w:val="008F19E0"/>
    <w:rsid w:val="02D62511"/>
    <w:rsid w:val="04366AF4"/>
    <w:rsid w:val="051A6F07"/>
    <w:rsid w:val="067A2E43"/>
    <w:rsid w:val="07BE62CF"/>
    <w:rsid w:val="08A110E0"/>
    <w:rsid w:val="0B8E4BB5"/>
    <w:rsid w:val="0BCE1AB0"/>
    <w:rsid w:val="0C427737"/>
    <w:rsid w:val="0C9C6600"/>
    <w:rsid w:val="0E121122"/>
    <w:rsid w:val="0FAB1A24"/>
    <w:rsid w:val="0FF03AF9"/>
    <w:rsid w:val="13CE33F5"/>
    <w:rsid w:val="14A20770"/>
    <w:rsid w:val="14A43C08"/>
    <w:rsid w:val="168B0E1F"/>
    <w:rsid w:val="17CD6AE5"/>
    <w:rsid w:val="190E74BA"/>
    <w:rsid w:val="19E31E7F"/>
    <w:rsid w:val="1BDB2B53"/>
    <w:rsid w:val="1C2C7853"/>
    <w:rsid w:val="1DE44B40"/>
    <w:rsid w:val="1E222CBC"/>
    <w:rsid w:val="1F9B4C2E"/>
    <w:rsid w:val="201554B6"/>
    <w:rsid w:val="20E922FE"/>
    <w:rsid w:val="215C4BC7"/>
    <w:rsid w:val="235002CB"/>
    <w:rsid w:val="23566329"/>
    <w:rsid w:val="23A6613D"/>
    <w:rsid w:val="23C5511E"/>
    <w:rsid w:val="25EB6089"/>
    <w:rsid w:val="268966DD"/>
    <w:rsid w:val="28D279D3"/>
    <w:rsid w:val="2A2277D9"/>
    <w:rsid w:val="2BE04E2E"/>
    <w:rsid w:val="2BF0264B"/>
    <w:rsid w:val="2C093C64"/>
    <w:rsid w:val="2C673F8F"/>
    <w:rsid w:val="2D38316D"/>
    <w:rsid w:val="2F1A09DA"/>
    <w:rsid w:val="2F884949"/>
    <w:rsid w:val="2FB80C1D"/>
    <w:rsid w:val="2FE42947"/>
    <w:rsid w:val="32EB51E3"/>
    <w:rsid w:val="3334515F"/>
    <w:rsid w:val="337472CA"/>
    <w:rsid w:val="353B7140"/>
    <w:rsid w:val="35457FE3"/>
    <w:rsid w:val="37636C46"/>
    <w:rsid w:val="379563EF"/>
    <w:rsid w:val="37BA1D5F"/>
    <w:rsid w:val="3A571AE7"/>
    <w:rsid w:val="3CC3620E"/>
    <w:rsid w:val="3DC15BF5"/>
    <w:rsid w:val="3EC40485"/>
    <w:rsid w:val="3F057D64"/>
    <w:rsid w:val="41304D1C"/>
    <w:rsid w:val="438970F8"/>
    <w:rsid w:val="445B1D11"/>
    <w:rsid w:val="447B292C"/>
    <w:rsid w:val="448F109E"/>
    <w:rsid w:val="46682F80"/>
    <w:rsid w:val="4755115C"/>
    <w:rsid w:val="487B4BF3"/>
    <w:rsid w:val="49677D44"/>
    <w:rsid w:val="4A8E50B1"/>
    <w:rsid w:val="4C057E17"/>
    <w:rsid w:val="4C507E7F"/>
    <w:rsid w:val="4DCD6F79"/>
    <w:rsid w:val="4EE76C0E"/>
    <w:rsid w:val="4FCB31FF"/>
    <w:rsid w:val="4FF43C08"/>
    <w:rsid w:val="503474FD"/>
    <w:rsid w:val="51694CF1"/>
    <w:rsid w:val="51E2757B"/>
    <w:rsid w:val="53B55537"/>
    <w:rsid w:val="545E0B49"/>
    <w:rsid w:val="547D0432"/>
    <w:rsid w:val="558F7DE0"/>
    <w:rsid w:val="56743E62"/>
    <w:rsid w:val="568B059B"/>
    <w:rsid w:val="57AA1051"/>
    <w:rsid w:val="57DF0BB9"/>
    <w:rsid w:val="5855720E"/>
    <w:rsid w:val="585D282E"/>
    <w:rsid w:val="58C24BD6"/>
    <w:rsid w:val="58CB36FC"/>
    <w:rsid w:val="58EF7699"/>
    <w:rsid w:val="592B61ED"/>
    <w:rsid w:val="592B6CB0"/>
    <w:rsid w:val="5A706435"/>
    <w:rsid w:val="5A7308B3"/>
    <w:rsid w:val="5AEC0F28"/>
    <w:rsid w:val="5B397956"/>
    <w:rsid w:val="5D011657"/>
    <w:rsid w:val="5F0A27BC"/>
    <w:rsid w:val="5FF716F0"/>
    <w:rsid w:val="603E705D"/>
    <w:rsid w:val="615640F5"/>
    <w:rsid w:val="620B6B90"/>
    <w:rsid w:val="627501D0"/>
    <w:rsid w:val="62E358B2"/>
    <w:rsid w:val="62F2628E"/>
    <w:rsid w:val="650F6997"/>
    <w:rsid w:val="686F1C09"/>
    <w:rsid w:val="695C3596"/>
    <w:rsid w:val="698852D2"/>
    <w:rsid w:val="6C131266"/>
    <w:rsid w:val="6CAC2873"/>
    <w:rsid w:val="6D9E4CCD"/>
    <w:rsid w:val="6E6068AF"/>
    <w:rsid w:val="703F74BE"/>
    <w:rsid w:val="72B90F51"/>
    <w:rsid w:val="73221F8B"/>
    <w:rsid w:val="742757AC"/>
    <w:rsid w:val="776720B9"/>
    <w:rsid w:val="77A45665"/>
    <w:rsid w:val="77A91E50"/>
    <w:rsid w:val="78791325"/>
    <w:rsid w:val="7D573B63"/>
    <w:rsid w:val="7DAE70E9"/>
    <w:rsid w:val="7E48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numPr>
        <w:ilvl w:val="0"/>
        <w:numId w:val="1"/>
      </w:numPr>
      <w:outlineLvl w:val="0"/>
    </w:pPr>
    <w:rPr>
      <w:b/>
      <w:sz w:val="36"/>
      <w:szCs w:val="36"/>
    </w:rPr>
  </w:style>
  <w:style w:type="paragraph" w:styleId="2">
    <w:name w:val="heading 2"/>
    <w:basedOn w:val="1"/>
    <w:next w:val="1"/>
    <w:unhideWhenUsed/>
    <w:qFormat/>
    <w:uiPriority w:val="8"/>
    <w:pPr>
      <w:keepNext/>
      <w:keepLines/>
      <w:numPr>
        <w:ilvl w:val="1"/>
        <w:numId w:val="1"/>
      </w:numPr>
      <w:jc w:val="center"/>
      <w:outlineLvl w:val="1"/>
    </w:pPr>
    <w:rPr>
      <w:rFonts w:ascii="Cambria" w:hAnsi="Cambria"/>
      <w:b/>
      <w:sz w:val="24"/>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spacing w:line="312" w:lineRule="atLeast"/>
      <w:ind w:firstLine="420"/>
      <w:textAlignment w:val="baseline"/>
    </w:pPr>
    <w:rPr>
      <w:rFonts w:ascii="@楷体" w:hAnsi="Symbol" w:eastAsia="楷体"/>
      <w:kern w:val="28"/>
      <w:sz w:val="15"/>
    </w:r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spacing w:after="120"/>
    </w:pPr>
  </w:style>
  <w:style w:type="paragraph" w:styleId="7">
    <w:name w:val="Plain Text"/>
    <w:basedOn w:val="1"/>
    <w:autoRedefine/>
    <w:qFormat/>
    <w:uiPriority w:val="0"/>
    <w:rPr>
      <w:rFonts w:ascii="宋体" w:hAnsi="Courier New"/>
      <w:kern w:val="0"/>
    </w:rPr>
  </w:style>
  <w:style w:type="paragraph" w:styleId="8">
    <w:name w:val="footer"/>
    <w:basedOn w:val="1"/>
    <w:next w:val="6"/>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unhideWhenUsed/>
    <w:qFormat/>
    <w:uiPriority w:val="39"/>
    <w:pPr>
      <w:ind w:left="420" w:leftChars="200"/>
    </w:pPr>
  </w:style>
  <w:style w:type="paragraph" w:styleId="11">
    <w:name w:val="Normal (Web)"/>
    <w:basedOn w:val="1"/>
    <w:autoRedefine/>
    <w:unhideWhenUsed/>
    <w:qFormat/>
    <w:uiPriority w:val="99"/>
    <w:pPr>
      <w:widowControl/>
      <w:spacing w:before="100" w:beforeAutospacing="1" w:after="100" w:afterAutospacing="1"/>
      <w:jc w:val="left"/>
    </w:pPr>
    <w:rPr>
      <w:rFonts w:hint="eastAsia" w:ascii="宋体" w:hAnsi="宋体"/>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lock Text1"/>
    <w:basedOn w:val="1"/>
    <w:autoRedefine/>
    <w:qFormat/>
    <w:uiPriority w:val="0"/>
    <w:pPr>
      <w:widowControl/>
      <w:spacing w:after="120"/>
      <w:ind w:left="1440" w:leftChars="700" w:right="1440"/>
    </w:pPr>
    <w:rPr>
      <w:rFonts w:ascii="Garamond" w:hAnsi="Garamond" w:eastAsia="Times New Roman"/>
      <w:spacing w:val="-2"/>
      <w:kern w:val="0"/>
    </w:rPr>
  </w:style>
  <w:style w:type="character" w:customStyle="1" w:styleId="16">
    <w:name w:val="font11"/>
    <w:basedOn w:val="14"/>
    <w:qFormat/>
    <w:uiPriority w:val="0"/>
    <w:rPr>
      <w:rFonts w:hint="eastAsia" w:ascii="宋体" w:hAnsi="宋体" w:eastAsia="宋体" w:cs="宋体"/>
      <w:color w:val="000000"/>
      <w:sz w:val="24"/>
      <w:szCs w:val="24"/>
      <w:u w:val="none"/>
    </w:rPr>
  </w:style>
  <w:style w:type="paragraph" w:customStyle="1" w:styleId="17">
    <w:name w:val="p0"/>
    <w:basedOn w:val="1"/>
    <w:qFormat/>
    <w:uiPriority w:val="0"/>
    <w:pPr>
      <w:widowControl/>
    </w:pPr>
    <w:rPr>
      <w:kern w:val="0"/>
      <w:szCs w:val="21"/>
    </w:rPr>
  </w:style>
  <w:style w:type="paragraph" w:customStyle="1" w:styleId="18">
    <w:name w:val="Default"/>
    <w:next w:val="1"/>
    <w:autoRedefine/>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4839</Words>
  <Characters>5256</Characters>
  <Lines>43</Lines>
  <Paragraphs>12</Paragraphs>
  <TotalTime>19</TotalTime>
  <ScaleCrop>false</ScaleCrop>
  <LinksUpToDate>false</LinksUpToDate>
  <CharactersWithSpaces>5332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2023-07-03T00:30:00Z</dcterms:created>
  <dc:creator>RMK107</dc:creator>
  <cp:lastModifiedBy>jdbwb</cp:lastModifiedBy>
  <cp:lastPrinted>2024-01-10T08:30:44Z</cp:lastPrinted>
  <dcterms:modified xsi:type="dcterms:W3CDTF">2024-01-10T08:33:27Z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1520E5FA5F32409AA6506670FD5D6F6E_13</vt:lpwstr>
  </property>
</Properties>
</file>