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739A8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崔庄煤矿覆岩充填注浆粉煤灰</w:t>
      </w:r>
      <w:r>
        <w:rPr>
          <w:rFonts w:hint="eastAsia"/>
          <w:b/>
          <w:bCs/>
          <w:sz w:val="36"/>
          <w:szCs w:val="36"/>
          <w:lang w:val="en-US" w:eastAsia="zh-CN"/>
        </w:rPr>
        <w:t>采购标准及</w:t>
      </w:r>
      <w:r>
        <w:rPr>
          <w:rFonts w:hint="eastAsia"/>
          <w:b/>
          <w:bCs/>
          <w:sz w:val="36"/>
          <w:szCs w:val="36"/>
        </w:rPr>
        <w:t>要求</w:t>
      </w:r>
    </w:p>
    <w:p w14:paraId="3E87F553">
      <w:pPr>
        <w:rPr>
          <w:b/>
          <w:bCs/>
          <w:sz w:val="36"/>
          <w:szCs w:val="36"/>
        </w:rPr>
      </w:pPr>
    </w:p>
    <w:p w14:paraId="5E8A8A72">
      <w:pPr>
        <w:numPr>
          <w:ilvl w:val="0"/>
          <w:numId w:val="1"/>
        </w:numPr>
        <w:tabs>
          <w:tab w:val="left" w:pos="306"/>
        </w:tabs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质量要求</w:t>
      </w:r>
    </w:p>
    <w:p w14:paraId="0D7EC4BD">
      <w:pPr>
        <w:numPr>
          <w:ilvl w:val="0"/>
          <w:numId w:val="0"/>
        </w:numPr>
        <w:tabs>
          <w:tab w:val="left" w:pos="306"/>
        </w:tabs>
        <w:ind w:firstLine="600" w:firstLineChars="200"/>
        <w:rPr>
          <w:rFonts w:ascii="华文仿宋" w:hAnsi="华文仿宋" w:eastAsia="华文仿宋" w:cs="华文仿宋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sz w:val="30"/>
          <w:szCs w:val="30"/>
        </w:rPr>
        <w:t>为保证崔庄煤矿覆岩充填注浆工程质量，注浆所用粉煤灰必须达到以下质量要求：</w:t>
      </w:r>
    </w:p>
    <w:p w14:paraId="00CE2CCA">
      <w:pPr>
        <w:numPr>
          <w:ilvl w:val="0"/>
          <w:numId w:val="0"/>
        </w:numPr>
        <w:tabs>
          <w:tab w:val="left" w:pos="306"/>
        </w:tabs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1.</w:t>
      </w:r>
      <w:r>
        <w:rPr>
          <w:rFonts w:hint="eastAsia" w:ascii="宋体" w:hAnsi="宋体" w:eastAsia="宋体" w:cs="宋体"/>
          <w:sz w:val="30"/>
          <w:szCs w:val="30"/>
        </w:rPr>
        <w:t>粉煤灰达到GB/T1596-2017中规定的C类Ⅱ级粉煤灰标准，</w:t>
      </w:r>
      <w:bookmarkStart w:id="0" w:name="_Hlk141953605"/>
      <w:r>
        <w:rPr>
          <w:rFonts w:hint="eastAsia" w:ascii="宋体" w:hAnsi="宋体" w:eastAsia="宋体" w:cs="宋体"/>
          <w:sz w:val="30"/>
          <w:szCs w:val="30"/>
        </w:rPr>
        <w:t>具体要求如下：</w:t>
      </w:r>
    </w:p>
    <w:p w14:paraId="04C288AE">
      <w:pPr>
        <w:tabs>
          <w:tab w:val="left" w:pos="306"/>
        </w:tabs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hint="eastAsia" w:ascii="宋体" w:hAnsi="宋体" w:eastAsia="宋体" w:cs="宋体"/>
          <w:sz w:val="30"/>
          <w:szCs w:val="30"/>
        </w:rPr>
        <w:t>细度为≤30%。</w:t>
      </w:r>
    </w:p>
    <w:p w14:paraId="08CD0281">
      <w:pPr>
        <w:tabs>
          <w:tab w:val="left" w:pos="306"/>
        </w:tabs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hint="eastAsia" w:ascii="宋体" w:hAnsi="宋体" w:eastAsia="宋体" w:cs="宋体"/>
          <w:sz w:val="30"/>
          <w:szCs w:val="30"/>
        </w:rPr>
        <w:t>需水量比≤105%。</w:t>
      </w:r>
    </w:p>
    <w:p w14:paraId="245623BE">
      <w:pPr>
        <w:tabs>
          <w:tab w:val="left" w:pos="306"/>
        </w:tabs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hint="eastAsia" w:ascii="宋体" w:hAnsi="宋体" w:eastAsia="宋体" w:cs="宋体"/>
          <w:sz w:val="30"/>
          <w:szCs w:val="30"/>
        </w:rPr>
        <w:t>烧失量(Loss)≤8%。</w:t>
      </w:r>
    </w:p>
    <w:p w14:paraId="51F3CC0C">
      <w:pPr>
        <w:tabs>
          <w:tab w:val="left" w:pos="306"/>
        </w:tabs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hint="eastAsia" w:ascii="宋体" w:hAnsi="宋体" w:eastAsia="宋体" w:cs="宋体"/>
          <w:sz w:val="30"/>
          <w:szCs w:val="30"/>
        </w:rPr>
        <w:t>含水量≤1%。</w:t>
      </w:r>
    </w:p>
    <w:p w14:paraId="40D6F115">
      <w:pPr>
        <w:tabs>
          <w:tab w:val="left" w:pos="306"/>
        </w:tabs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hint="eastAsia" w:ascii="宋体" w:hAnsi="宋体" w:eastAsia="宋体" w:cs="宋体"/>
          <w:sz w:val="30"/>
          <w:szCs w:val="30"/>
        </w:rPr>
        <w:t>三氧化硫(SO3)质量分数≤3%。</w:t>
      </w:r>
    </w:p>
    <w:p w14:paraId="349B1B41">
      <w:pPr>
        <w:tabs>
          <w:tab w:val="left" w:pos="306"/>
        </w:tabs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hint="eastAsia" w:ascii="宋体" w:hAnsi="宋体" w:eastAsia="宋体" w:cs="宋体"/>
          <w:sz w:val="30"/>
          <w:szCs w:val="30"/>
        </w:rPr>
        <w:t>游离氧化钙(f-CaO)质量分数≤4%。</w:t>
      </w:r>
    </w:p>
    <w:p w14:paraId="1A775B37">
      <w:pPr>
        <w:tabs>
          <w:tab w:val="left" w:pos="306"/>
        </w:tabs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7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hint="eastAsia" w:ascii="宋体" w:hAnsi="宋体" w:eastAsia="宋体" w:cs="宋体"/>
          <w:sz w:val="30"/>
          <w:szCs w:val="30"/>
        </w:rPr>
        <w:t>二氧化硅(SiO2)三氧化二铝(AI203 和三氧化二铁(Fe203 总质量分数大于等于50%.</w:t>
      </w:r>
    </w:p>
    <w:p w14:paraId="2C9CECC9">
      <w:pPr>
        <w:tabs>
          <w:tab w:val="left" w:pos="306"/>
        </w:tabs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hint="eastAsia" w:ascii="宋体" w:hAnsi="宋体" w:eastAsia="宋体" w:cs="宋体"/>
          <w:sz w:val="30"/>
          <w:szCs w:val="30"/>
        </w:rPr>
        <w:t>密度/(g/cm</w:t>
      </w:r>
      <w:r>
        <w:rPr>
          <w:rFonts w:hint="eastAsia" w:ascii="宋体" w:hAnsi="宋体" w:eastAsia="宋体" w:cs="宋体"/>
          <w:sz w:val="30"/>
          <w:szCs w:val="30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sz w:val="30"/>
          <w:szCs w:val="30"/>
        </w:rPr>
        <w:t>)≤2.6。</w:t>
      </w:r>
    </w:p>
    <w:p w14:paraId="535C26C4">
      <w:pPr>
        <w:tabs>
          <w:tab w:val="left" w:pos="306"/>
        </w:tabs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9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hint="eastAsia" w:ascii="宋体" w:hAnsi="宋体" w:eastAsia="宋体" w:cs="宋体"/>
          <w:sz w:val="30"/>
          <w:szCs w:val="30"/>
        </w:rPr>
        <w:t>安定性(雷氏法)≤5(mm)。</w:t>
      </w:r>
    </w:p>
    <w:p w14:paraId="2F5A623C">
      <w:pPr>
        <w:tabs>
          <w:tab w:val="left" w:pos="306"/>
        </w:tabs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10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hint="eastAsia" w:ascii="宋体" w:hAnsi="宋体" w:eastAsia="宋体" w:cs="宋体"/>
          <w:sz w:val="30"/>
          <w:szCs w:val="30"/>
        </w:rPr>
        <w:t>强度活性指数≤70%。</w:t>
      </w:r>
    </w:p>
    <w:bookmarkEnd w:id="0"/>
    <w:p w14:paraId="6FF0B6AE">
      <w:pPr>
        <w:tabs>
          <w:tab w:val="left" w:pos="306"/>
        </w:tabs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为保障注浆工作的连续性，除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对</w:t>
      </w:r>
      <w:r>
        <w:rPr>
          <w:rFonts w:hint="eastAsia" w:ascii="宋体" w:hAnsi="宋体" w:eastAsia="宋体" w:cs="宋体"/>
          <w:sz w:val="30"/>
          <w:szCs w:val="30"/>
        </w:rPr>
        <w:t>细度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需水量比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烧失量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密度以上四项为必须达标项外，其余项不再做硬性要求。</w:t>
      </w:r>
    </w:p>
    <w:p w14:paraId="48BC024B">
      <w:pPr>
        <w:tabs>
          <w:tab w:val="left" w:pos="306"/>
        </w:tabs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2.</w:t>
      </w:r>
      <w:r>
        <w:rPr>
          <w:rFonts w:hint="eastAsia" w:ascii="宋体" w:hAnsi="宋体" w:eastAsia="宋体" w:cs="宋体"/>
          <w:sz w:val="30"/>
          <w:szCs w:val="30"/>
        </w:rPr>
        <w:t>必须满足现场使用要求，具体如下：</w:t>
      </w:r>
    </w:p>
    <w:p w14:paraId="4534B550">
      <w:pPr>
        <w:tabs>
          <w:tab w:val="left" w:pos="306"/>
        </w:tabs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hint="eastAsia" w:ascii="宋体" w:hAnsi="宋体" w:eastAsia="宋体" w:cs="宋体"/>
          <w:sz w:val="30"/>
          <w:szCs w:val="30"/>
        </w:rPr>
        <w:t>观测</w:t>
      </w:r>
    </w:p>
    <w:p w14:paraId="1BDE30F7">
      <w:pPr>
        <w:tabs>
          <w:tab w:val="left" w:pos="306"/>
        </w:tabs>
        <w:ind w:firstLine="300" w:firstLineChars="1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浆液拌合后浮油较大，细度不达标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有明显颗粒感，颜色深红色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稠度大流动性小</w:t>
      </w:r>
      <w:r>
        <w:rPr>
          <w:rFonts w:hint="eastAsia" w:ascii="宋体" w:hAnsi="宋体" w:eastAsia="宋体" w:cs="宋体"/>
          <w:sz w:val="30"/>
          <w:szCs w:val="30"/>
        </w:rPr>
        <w:t>等，均直接判断为不合格灰。</w:t>
      </w:r>
    </w:p>
    <w:p w14:paraId="1087F54B">
      <w:pPr>
        <w:numPr>
          <w:ilvl w:val="0"/>
          <w:numId w:val="0"/>
        </w:numPr>
        <w:tabs>
          <w:tab w:val="left" w:pos="306"/>
        </w:tabs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hint="eastAsia" w:ascii="宋体" w:hAnsi="宋体" w:eastAsia="宋体" w:cs="宋体"/>
          <w:sz w:val="30"/>
          <w:szCs w:val="30"/>
        </w:rPr>
        <w:t>取样试验检测，须达到下表要求：</w:t>
      </w:r>
    </w:p>
    <w:p w14:paraId="7612CEBD">
      <w:pPr>
        <w:numPr>
          <w:ilvl w:val="0"/>
          <w:numId w:val="0"/>
        </w:numPr>
        <w:tabs>
          <w:tab w:val="left" w:pos="306"/>
        </w:tabs>
        <w:rPr>
          <w:rFonts w:hint="eastAsia" w:ascii="宋体" w:hAnsi="宋体" w:eastAsia="宋体" w:cs="宋体"/>
          <w:sz w:val="30"/>
          <w:szCs w:val="30"/>
        </w:rPr>
      </w:pPr>
    </w:p>
    <w:tbl>
      <w:tblPr>
        <w:tblStyle w:val="3"/>
        <w:tblW w:w="8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928"/>
        <w:gridCol w:w="978"/>
        <w:gridCol w:w="1566"/>
        <w:gridCol w:w="1178"/>
        <w:gridCol w:w="1029"/>
        <w:gridCol w:w="1357"/>
      </w:tblGrid>
      <w:tr w14:paraId="2E8D9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9" w:type="dxa"/>
            <w:vAlign w:val="center"/>
          </w:tcPr>
          <w:p w14:paraId="53E741B1">
            <w:pPr>
              <w:tabs>
                <w:tab w:val="left" w:pos="306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水固比</w:t>
            </w:r>
          </w:p>
        </w:tc>
        <w:tc>
          <w:tcPr>
            <w:tcW w:w="928" w:type="dxa"/>
            <w:vAlign w:val="center"/>
          </w:tcPr>
          <w:p w14:paraId="2A0B5240">
            <w:pPr>
              <w:tabs>
                <w:tab w:val="left" w:pos="306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水（g）</w:t>
            </w:r>
          </w:p>
        </w:tc>
        <w:tc>
          <w:tcPr>
            <w:tcW w:w="978" w:type="dxa"/>
            <w:vAlign w:val="center"/>
          </w:tcPr>
          <w:p w14:paraId="60482FE5">
            <w:pPr>
              <w:tabs>
                <w:tab w:val="left" w:pos="306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粉煤灰</w:t>
            </w:r>
          </w:p>
          <w:p w14:paraId="445511E8">
            <w:pPr>
              <w:tabs>
                <w:tab w:val="left" w:pos="306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（g）</w:t>
            </w:r>
          </w:p>
        </w:tc>
        <w:tc>
          <w:tcPr>
            <w:tcW w:w="1566" w:type="dxa"/>
            <w:vAlign w:val="center"/>
          </w:tcPr>
          <w:p w14:paraId="744DA501">
            <w:pPr>
              <w:tabs>
                <w:tab w:val="left" w:pos="306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比重（g/cm3）</w:t>
            </w:r>
          </w:p>
        </w:tc>
        <w:tc>
          <w:tcPr>
            <w:tcW w:w="1178" w:type="dxa"/>
            <w:vAlign w:val="center"/>
          </w:tcPr>
          <w:p w14:paraId="55363110">
            <w:pPr>
              <w:tabs>
                <w:tab w:val="left" w:pos="306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结实率（%）</w:t>
            </w:r>
          </w:p>
        </w:tc>
        <w:tc>
          <w:tcPr>
            <w:tcW w:w="1029" w:type="dxa"/>
            <w:vAlign w:val="center"/>
          </w:tcPr>
          <w:p w14:paraId="495790EC">
            <w:pPr>
              <w:tabs>
                <w:tab w:val="left" w:pos="306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稳定</w:t>
            </w:r>
          </w:p>
          <w:p w14:paraId="4270C826">
            <w:pPr>
              <w:tabs>
                <w:tab w:val="left" w:pos="306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时长</w:t>
            </w:r>
          </w:p>
          <w:p w14:paraId="3AA5EFFA">
            <w:pPr>
              <w:tabs>
                <w:tab w:val="left" w:pos="306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（h）</w:t>
            </w:r>
          </w:p>
        </w:tc>
        <w:tc>
          <w:tcPr>
            <w:tcW w:w="1357" w:type="dxa"/>
            <w:vAlign w:val="center"/>
          </w:tcPr>
          <w:p w14:paraId="0FC98593">
            <w:pPr>
              <w:tabs>
                <w:tab w:val="left" w:pos="306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密度</w:t>
            </w:r>
          </w:p>
          <w:p w14:paraId="29E662DF">
            <w:pPr>
              <w:tabs>
                <w:tab w:val="left" w:pos="306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（g/cm3）</w:t>
            </w:r>
          </w:p>
        </w:tc>
      </w:tr>
      <w:tr w14:paraId="76D80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69" w:type="dxa"/>
            <w:vAlign w:val="center"/>
          </w:tcPr>
          <w:p w14:paraId="7116AED4">
            <w:pPr>
              <w:tabs>
                <w:tab w:val="left" w:pos="306"/>
              </w:tabs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1.3:1</w:t>
            </w:r>
          </w:p>
        </w:tc>
        <w:tc>
          <w:tcPr>
            <w:tcW w:w="928" w:type="dxa"/>
            <w:vAlign w:val="center"/>
          </w:tcPr>
          <w:p w14:paraId="22F9FAB0">
            <w:pPr>
              <w:tabs>
                <w:tab w:val="left" w:pos="306"/>
              </w:tabs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370</w:t>
            </w:r>
          </w:p>
        </w:tc>
        <w:tc>
          <w:tcPr>
            <w:tcW w:w="978" w:type="dxa"/>
            <w:vAlign w:val="center"/>
          </w:tcPr>
          <w:p w14:paraId="4D9494E4">
            <w:pPr>
              <w:tabs>
                <w:tab w:val="left" w:pos="306"/>
              </w:tabs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285</w:t>
            </w:r>
          </w:p>
        </w:tc>
        <w:tc>
          <w:tcPr>
            <w:tcW w:w="1566" w:type="dxa"/>
            <w:vAlign w:val="center"/>
          </w:tcPr>
          <w:p w14:paraId="0D5FB800">
            <w:pPr>
              <w:tabs>
                <w:tab w:val="left" w:pos="306"/>
              </w:tabs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1.30-1.35</w:t>
            </w:r>
          </w:p>
        </w:tc>
        <w:tc>
          <w:tcPr>
            <w:tcW w:w="1178" w:type="dxa"/>
            <w:vAlign w:val="center"/>
          </w:tcPr>
          <w:p w14:paraId="1EAC8AA5">
            <w:pPr>
              <w:tabs>
                <w:tab w:val="left" w:pos="306"/>
              </w:tabs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65-75</w:t>
            </w:r>
          </w:p>
        </w:tc>
        <w:tc>
          <w:tcPr>
            <w:tcW w:w="1029" w:type="dxa"/>
            <w:vAlign w:val="center"/>
          </w:tcPr>
          <w:p w14:paraId="378143FC">
            <w:pPr>
              <w:tabs>
                <w:tab w:val="left" w:pos="306"/>
              </w:tabs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3-5</w:t>
            </w:r>
          </w:p>
        </w:tc>
        <w:tc>
          <w:tcPr>
            <w:tcW w:w="1357" w:type="dxa"/>
            <w:vAlign w:val="center"/>
          </w:tcPr>
          <w:p w14:paraId="5BC932C7">
            <w:pPr>
              <w:tabs>
                <w:tab w:val="left" w:pos="306"/>
              </w:tabs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≤2.6</w:t>
            </w:r>
          </w:p>
        </w:tc>
      </w:tr>
      <w:tr w14:paraId="1706B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69" w:type="dxa"/>
            <w:vAlign w:val="center"/>
          </w:tcPr>
          <w:p w14:paraId="48996E2D">
            <w:pPr>
              <w:tabs>
                <w:tab w:val="left" w:pos="306"/>
              </w:tabs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1:1</w:t>
            </w:r>
          </w:p>
        </w:tc>
        <w:tc>
          <w:tcPr>
            <w:tcW w:w="928" w:type="dxa"/>
            <w:vAlign w:val="center"/>
          </w:tcPr>
          <w:p w14:paraId="48DED2C2">
            <w:pPr>
              <w:tabs>
                <w:tab w:val="left" w:pos="306"/>
              </w:tabs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345</w:t>
            </w:r>
          </w:p>
        </w:tc>
        <w:tc>
          <w:tcPr>
            <w:tcW w:w="978" w:type="dxa"/>
            <w:vAlign w:val="center"/>
          </w:tcPr>
          <w:p w14:paraId="2784AA4B">
            <w:pPr>
              <w:tabs>
                <w:tab w:val="left" w:pos="306"/>
              </w:tabs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345</w:t>
            </w:r>
          </w:p>
        </w:tc>
        <w:tc>
          <w:tcPr>
            <w:tcW w:w="1566" w:type="dxa"/>
            <w:vAlign w:val="center"/>
          </w:tcPr>
          <w:p w14:paraId="35D1DA67">
            <w:pPr>
              <w:tabs>
                <w:tab w:val="left" w:pos="306"/>
              </w:tabs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1.36-1.41</w:t>
            </w:r>
          </w:p>
        </w:tc>
        <w:tc>
          <w:tcPr>
            <w:tcW w:w="1178" w:type="dxa"/>
            <w:vAlign w:val="center"/>
          </w:tcPr>
          <w:p w14:paraId="0977C402">
            <w:pPr>
              <w:tabs>
                <w:tab w:val="left" w:pos="306"/>
              </w:tabs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80-88</w:t>
            </w:r>
          </w:p>
        </w:tc>
        <w:tc>
          <w:tcPr>
            <w:tcW w:w="1029" w:type="dxa"/>
            <w:vAlign w:val="center"/>
          </w:tcPr>
          <w:p w14:paraId="4C37509B">
            <w:pPr>
              <w:tabs>
                <w:tab w:val="left" w:pos="306"/>
              </w:tabs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3-5</w:t>
            </w:r>
          </w:p>
        </w:tc>
        <w:tc>
          <w:tcPr>
            <w:tcW w:w="1357" w:type="dxa"/>
            <w:vAlign w:val="center"/>
          </w:tcPr>
          <w:p w14:paraId="31E70ECC">
            <w:pPr>
              <w:tabs>
                <w:tab w:val="left" w:pos="306"/>
              </w:tabs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≤2.6</w:t>
            </w:r>
          </w:p>
        </w:tc>
      </w:tr>
    </w:tbl>
    <w:p w14:paraId="00FBA890">
      <w:pPr>
        <w:numPr>
          <w:ilvl w:val="0"/>
          <w:numId w:val="0"/>
        </w:numPr>
        <w:tabs>
          <w:tab w:val="left" w:pos="306"/>
        </w:tabs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 w14:paraId="07F66329">
      <w:pPr>
        <w:numPr>
          <w:ilvl w:val="0"/>
          <w:numId w:val="0"/>
        </w:numPr>
        <w:tabs>
          <w:tab w:val="left" w:pos="306"/>
        </w:tabs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（3）检测流程</w:t>
      </w:r>
    </w:p>
    <w:p w14:paraId="3AA7E0CB">
      <w:pPr>
        <w:numPr>
          <w:ilvl w:val="0"/>
          <w:numId w:val="0"/>
        </w:numPr>
        <w:tabs>
          <w:tab w:val="left" w:pos="306"/>
        </w:tabs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①司机进场后，停在浆站东西路上，在监控及收料人员见证取样，向收料人员出示正式电厂出厂过磅单。</w:t>
      </w:r>
    </w:p>
    <w:p w14:paraId="6DFF0E34">
      <w:pPr>
        <w:numPr>
          <w:ilvl w:val="0"/>
          <w:numId w:val="0"/>
        </w:numPr>
        <w:tabs>
          <w:tab w:val="left" w:pos="306"/>
        </w:tabs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②司机见证现场技术人员配置浆液，经现场技术人员对粉煤灰样品及浆液认定合格后开具准入单。粉煤灰质量不合格者，立即离场，避免对浆站车辆调度造成干扰。</w:t>
      </w:r>
    </w:p>
    <w:p w14:paraId="6A937142">
      <w:pPr>
        <w:numPr>
          <w:ilvl w:val="0"/>
          <w:numId w:val="0"/>
        </w:numPr>
        <w:tabs>
          <w:tab w:val="left" w:pos="306"/>
        </w:tabs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③司机将准入单交矿方保卫人员并经同意后方可上磅。</w:t>
      </w:r>
    </w:p>
    <w:p w14:paraId="32916878">
      <w:pPr>
        <w:numPr>
          <w:ilvl w:val="0"/>
          <w:numId w:val="0"/>
        </w:numPr>
        <w:tabs>
          <w:tab w:val="left" w:pos="306"/>
        </w:tabs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二、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粉煤灰称重及打料注意事项</w:t>
      </w:r>
    </w:p>
    <w:p w14:paraId="75A3D073">
      <w:pPr>
        <w:numPr>
          <w:ilvl w:val="0"/>
          <w:numId w:val="0"/>
        </w:numPr>
        <w:tabs>
          <w:tab w:val="left" w:pos="306"/>
        </w:tabs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1.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称重注意事项</w:t>
      </w:r>
    </w:p>
    <w:p w14:paraId="014D51DF">
      <w:pPr>
        <w:numPr>
          <w:ilvl w:val="0"/>
          <w:numId w:val="0"/>
        </w:numPr>
        <w:tabs>
          <w:tab w:val="left" w:pos="306"/>
        </w:tabs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散料罐车上磅及下磅时，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由于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场地紧凑，人员较多，注意观测周边情况，控制行车方向及速度，避免碰墙、伤人及偏压磅，确保安全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。对造成浆站设备、设施损毁的照价赔偿，并处以一定数额的罚款。</w:t>
      </w:r>
    </w:p>
    <w:p w14:paraId="052595FE">
      <w:pPr>
        <w:numPr>
          <w:ilvl w:val="0"/>
          <w:numId w:val="0"/>
        </w:numPr>
        <w:tabs>
          <w:tab w:val="left" w:pos="306"/>
        </w:tabs>
        <w:ind w:leftChars="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2.打料注意事项</w:t>
      </w:r>
    </w:p>
    <w:tbl>
      <w:tblPr>
        <w:tblStyle w:val="2"/>
        <w:tblW w:w="86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765"/>
        <w:gridCol w:w="4785"/>
        <w:gridCol w:w="2130"/>
      </w:tblGrid>
      <w:tr w14:paraId="1A8A8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3F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D9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房号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21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注意事项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6F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违规处置</w:t>
            </w:r>
          </w:p>
        </w:tc>
      </w:tr>
      <w:tr w14:paraId="7CF7D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F5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打料前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77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2A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到控制室确认打料罐编号，按安排罐号打料，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严禁私自上料。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1E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出现以上情形者,将视造成后果进行处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罚。</w:t>
            </w:r>
          </w:p>
        </w:tc>
      </w:tr>
      <w:tr w14:paraId="2B545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BB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打料中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4D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3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管路连接密封良好，不得出现跑漏灰的情况。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DCD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98D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0F8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99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EB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管路连接完毕,需打开除尘开关后,方可打料。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A2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0DB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63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82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67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打料压力控制在 0.15 以内,并观察罐顶冒灰情况，及时调整压力或停止打灰。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427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6A0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C9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F7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72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打灰结束前，提前降低压力，避免排气时，出现灌顶冒灰。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F7A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F8A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AF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F5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B7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需换罐时，应到控制室确认换罐编号，得到明确指令后方可换罐。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F2A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49A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CF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打料后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61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17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打料后过磅去皮，下磅通过洗车台时应减慢车速，确认车辆清洗干净后，方可驶离。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AE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31D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BB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安全提示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7F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出入场及场内行车应左右观察、放慢车速，确保行车安全。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234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A4FD457">
      <w:pPr>
        <w:numPr>
          <w:ilvl w:val="0"/>
          <w:numId w:val="0"/>
        </w:numPr>
        <w:tabs>
          <w:tab w:val="left" w:pos="306"/>
        </w:tabs>
        <w:ind w:leftChars="0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p w14:paraId="4F1849F3">
      <w:pPr>
        <w:numPr>
          <w:ilvl w:val="0"/>
          <w:numId w:val="0"/>
        </w:numPr>
        <w:tabs>
          <w:tab w:val="left" w:pos="306"/>
        </w:tabs>
        <w:ind w:leftChars="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三、供应商须提供粉煤灰直供货源单位，并提供发票税率为13%。</w:t>
      </w:r>
    </w:p>
    <w:p w14:paraId="5FA91EED">
      <w:pPr>
        <w:numPr>
          <w:ilvl w:val="0"/>
          <w:numId w:val="0"/>
        </w:numPr>
        <w:tabs>
          <w:tab w:val="left" w:pos="306"/>
        </w:tabs>
        <w:ind w:leftChars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四、</w:t>
      </w:r>
      <w:r>
        <w:rPr>
          <w:rFonts w:hint="eastAsia" w:ascii="宋体" w:hAnsi="宋体" w:eastAsia="宋体" w:cs="宋体"/>
          <w:sz w:val="30"/>
          <w:szCs w:val="30"/>
        </w:rPr>
        <w:t>其他说明</w:t>
      </w:r>
    </w:p>
    <w:p w14:paraId="6D545356">
      <w:pPr>
        <w:numPr>
          <w:ilvl w:val="0"/>
          <w:numId w:val="0"/>
        </w:numPr>
        <w:tabs>
          <w:tab w:val="left" w:pos="306"/>
        </w:tabs>
        <w:ind w:leftChars="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1.为保证供应粉煤灰的质量与数量，</w:t>
      </w:r>
      <w:r>
        <w:rPr>
          <w:rFonts w:hint="eastAsia" w:ascii="宋体" w:hAnsi="宋体" w:eastAsia="宋体" w:cs="宋体"/>
          <w:sz w:val="30"/>
          <w:szCs w:val="30"/>
        </w:rPr>
        <w:t>供应商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可提供多个电厂的灰样，但每个灰样均需进行国检，中标后进场时需向现场负责人提供国检合格报告。</w:t>
      </w:r>
    </w:p>
    <w:p w14:paraId="2D3E35F2">
      <w:pPr>
        <w:numPr>
          <w:ilvl w:val="0"/>
          <w:numId w:val="0"/>
        </w:numPr>
        <w:tabs>
          <w:tab w:val="left" w:pos="306"/>
        </w:tabs>
        <w:ind w:leftChars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2.</w:t>
      </w:r>
      <w:r>
        <w:rPr>
          <w:rFonts w:hint="eastAsia" w:ascii="宋体" w:hAnsi="宋体" w:eastAsia="宋体" w:cs="宋体"/>
          <w:sz w:val="30"/>
          <w:szCs w:val="30"/>
        </w:rPr>
        <w:t>供应商须与崔庄矿上负责人员做好对接，并负责协调停车地方等一切事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宜</w:t>
      </w:r>
      <w:r>
        <w:rPr>
          <w:rFonts w:hint="eastAsia" w:ascii="宋体" w:hAnsi="宋体" w:eastAsia="宋体" w:cs="宋体"/>
          <w:sz w:val="30"/>
          <w:szCs w:val="30"/>
        </w:rPr>
        <w:t>。</w:t>
      </w:r>
    </w:p>
    <w:p w14:paraId="04DA3967">
      <w:pPr>
        <w:tabs>
          <w:tab w:val="left" w:pos="306"/>
        </w:tabs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3.</w:t>
      </w:r>
      <w:r>
        <w:rPr>
          <w:rFonts w:hint="eastAsia" w:ascii="宋体" w:hAnsi="宋体" w:eastAsia="宋体" w:cs="宋体"/>
          <w:sz w:val="30"/>
          <w:szCs w:val="30"/>
        </w:rPr>
        <w:t>因现场粉煤灰用量较大，理化指标无法做到及时送检，将分批次集中委托具有相应资质的第三方检测机构进行检测，为保证所用粉煤灰质量，需进行现场取样检测，合格后方可进场打料。</w:t>
      </w:r>
    </w:p>
    <w:p w14:paraId="64EFBC0C">
      <w:pPr>
        <w:tabs>
          <w:tab w:val="left" w:pos="306"/>
        </w:tabs>
        <w:rPr>
          <w:rFonts w:ascii="宋体" w:hAnsi="宋体" w:eastAsia="宋体" w:cs="宋体"/>
          <w:sz w:val="30"/>
          <w:szCs w:val="30"/>
        </w:rPr>
      </w:pPr>
      <w:bookmarkStart w:id="1" w:name="_Hlk141954182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4.</w:t>
      </w:r>
      <w:r>
        <w:rPr>
          <w:rFonts w:hint="eastAsia" w:ascii="宋体" w:hAnsi="宋体" w:eastAsia="宋体" w:cs="宋体"/>
          <w:sz w:val="30"/>
          <w:szCs w:val="30"/>
        </w:rPr>
        <w:t>供货商必须保证所供应粉煤灰</w:t>
      </w:r>
      <w:bookmarkEnd w:id="1"/>
      <w:r>
        <w:rPr>
          <w:rFonts w:hint="eastAsia" w:ascii="宋体" w:hAnsi="宋体" w:eastAsia="宋体" w:cs="宋体"/>
          <w:sz w:val="30"/>
          <w:szCs w:val="30"/>
        </w:rPr>
        <w:t>与</w:t>
      </w:r>
      <w:bookmarkStart w:id="2" w:name="_Hlk141953985"/>
      <w:r>
        <w:rPr>
          <w:rFonts w:hint="eastAsia" w:ascii="宋体" w:hAnsi="宋体" w:eastAsia="宋体" w:cs="宋体"/>
          <w:sz w:val="30"/>
          <w:szCs w:val="30"/>
        </w:rPr>
        <w:t>送检粉煤灰样品质量一致</w:t>
      </w:r>
      <w:bookmarkEnd w:id="2"/>
      <w:r>
        <w:rPr>
          <w:rFonts w:hint="eastAsia" w:ascii="宋体" w:hAnsi="宋体" w:eastAsia="宋体" w:cs="宋体"/>
          <w:sz w:val="30"/>
          <w:szCs w:val="30"/>
        </w:rPr>
        <w:t>，杜绝弄虚作假，凡发现实际到场粉煤灰与送检粉煤灰样品质量不一致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无法提供正式电厂出厂榜单、</w:t>
      </w:r>
      <w:r>
        <w:rPr>
          <w:rFonts w:hint="eastAsia" w:ascii="宋体" w:hAnsi="宋体" w:eastAsia="宋体" w:cs="宋体"/>
          <w:sz w:val="30"/>
          <w:szCs w:val="30"/>
        </w:rPr>
        <w:t>以及夹心灰、提前备好灰样者，一律做退回处理，所产生费用自理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并进行一定数额的罚款。对</w:t>
      </w:r>
      <w:r>
        <w:rPr>
          <w:rFonts w:hint="eastAsia" w:ascii="宋体" w:hAnsi="宋体" w:eastAsia="宋体" w:cs="宋体"/>
          <w:sz w:val="30"/>
          <w:szCs w:val="30"/>
        </w:rPr>
        <w:t>现场取样检测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有异议的，当场封存样品（2公斤以上）送</w:t>
      </w:r>
      <w:r>
        <w:rPr>
          <w:rFonts w:hint="eastAsia" w:ascii="宋体" w:hAnsi="宋体" w:eastAsia="宋体" w:cs="宋体"/>
          <w:sz w:val="30"/>
          <w:szCs w:val="30"/>
        </w:rPr>
        <w:t>第三方检测机构进行检测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sz w:val="30"/>
          <w:szCs w:val="30"/>
        </w:rPr>
        <w:t>检测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费用由供应商负责</w:t>
      </w:r>
      <w:r>
        <w:rPr>
          <w:rFonts w:hint="eastAsia" w:ascii="宋体" w:hAnsi="宋体" w:eastAsia="宋体" w:cs="宋体"/>
          <w:sz w:val="30"/>
          <w:szCs w:val="30"/>
        </w:rPr>
        <w:t>。</w:t>
      </w:r>
    </w:p>
    <w:p w14:paraId="225862BC">
      <w:pPr>
        <w:tabs>
          <w:tab w:val="left" w:pos="306"/>
        </w:tabs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</w:t>
      </w:r>
      <w:r>
        <w:rPr>
          <w:rFonts w:ascii="宋体" w:hAnsi="宋体" w:eastAsia="宋体" w:cs="宋体"/>
          <w:sz w:val="30"/>
          <w:szCs w:val="30"/>
        </w:rPr>
        <w:t>.</w:t>
      </w:r>
      <w:r>
        <w:rPr>
          <w:rFonts w:hint="eastAsia" w:ascii="宋体" w:hAnsi="宋体" w:eastAsia="宋体" w:cs="宋体"/>
          <w:sz w:val="30"/>
          <w:szCs w:val="30"/>
        </w:rPr>
        <w:t>供货商应严格按照注浆站生产计划，足量供应粉煤灰，且有</w:t>
      </w:r>
      <w:r>
        <w:rPr>
          <w:rFonts w:ascii="宋体" w:hAnsi="宋体" w:eastAsia="宋体" w:cs="宋体"/>
          <w:sz w:val="30"/>
          <w:szCs w:val="30"/>
        </w:rPr>
        <w:t>150</w:t>
      </w:r>
      <w:r>
        <w:rPr>
          <w:rFonts w:hint="eastAsia" w:ascii="宋体" w:hAnsi="宋体" w:eastAsia="宋体" w:cs="宋体"/>
          <w:sz w:val="30"/>
          <w:szCs w:val="30"/>
        </w:rPr>
        <w:t>—</w:t>
      </w:r>
      <w:r>
        <w:rPr>
          <w:rFonts w:ascii="宋体" w:hAnsi="宋体" w:eastAsia="宋体" w:cs="宋体"/>
          <w:sz w:val="30"/>
          <w:szCs w:val="30"/>
        </w:rPr>
        <w:t>200</w:t>
      </w:r>
      <w:r>
        <w:rPr>
          <w:rFonts w:hint="eastAsia" w:ascii="宋体" w:hAnsi="宋体" w:eastAsia="宋体" w:cs="宋体"/>
          <w:sz w:val="30"/>
          <w:szCs w:val="30"/>
        </w:rPr>
        <w:t>吨的余量，现场应安排联络人员调度车辆，以保证供应正常。</w:t>
      </w:r>
    </w:p>
    <w:p w14:paraId="7CCF23B7">
      <w:pPr>
        <w:tabs>
          <w:tab w:val="left" w:pos="306"/>
        </w:tabs>
        <w:jc w:val="left"/>
        <w:rPr>
          <w:rFonts w:ascii="仿宋" w:hAnsi="仿宋" w:eastAsia="仿宋" w:cs="仿宋"/>
          <w:sz w:val="30"/>
          <w:szCs w:val="30"/>
        </w:rPr>
      </w:pPr>
    </w:p>
    <w:p w14:paraId="41ED2F62">
      <w:pPr>
        <w:tabs>
          <w:tab w:val="left" w:pos="306"/>
        </w:tabs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采购方综合价格、质量、货源厂家、供应保证量、服务等进行评选确定供应商。</w:t>
      </w:r>
    </w:p>
    <w:p w14:paraId="71B4CC45">
      <w:pPr>
        <w:tabs>
          <w:tab w:val="left" w:pos="306"/>
        </w:tabs>
        <w:jc w:val="left"/>
        <w:rPr>
          <w:rFonts w:ascii="仿宋" w:hAnsi="仿宋" w:eastAsia="仿宋" w:cs="仿宋"/>
          <w:sz w:val="30"/>
          <w:szCs w:val="30"/>
        </w:rPr>
      </w:pP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3AF9F5"/>
    <w:multiLevelType w:val="singleLevel"/>
    <w:tmpl w:val="953AF9F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iOTk4YjdmZDA1M2Y4OTBhZTdlN2VlNmVhM2YyM2EifQ=="/>
  </w:docVars>
  <w:rsids>
    <w:rsidRoot w:val="00762A25"/>
    <w:rsid w:val="000259E8"/>
    <w:rsid w:val="000461C8"/>
    <w:rsid w:val="000674B7"/>
    <w:rsid w:val="000C0818"/>
    <w:rsid w:val="000E3DE9"/>
    <w:rsid w:val="00121A40"/>
    <w:rsid w:val="001D6403"/>
    <w:rsid w:val="00233E8E"/>
    <w:rsid w:val="0034330F"/>
    <w:rsid w:val="003877EF"/>
    <w:rsid w:val="003D79C7"/>
    <w:rsid w:val="00442DA6"/>
    <w:rsid w:val="00465052"/>
    <w:rsid w:val="00534791"/>
    <w:rsid w:val="006C586A"/>
    <w:rsid w:val="00762A25"/>
    <w:rsid w:val="007D4FDF"/>
    <w:rsid w:val="00801897"/>
    <w:rsid w:val="00826740"/>
    <w:rsid w:val="008A40E0"/>
    <w:rsid w:val="008C50B3"/>
    <w:rsid w:val="00911ED9"/>
    <w:rsid w:val="00916AE9"/>
    <w:rsid w:val="009F286A"/>
    <w:rsid w:val="00A176C2"/>
    <w:rsid w:val="00A866C7"/>
    <w:rsid w:val="00B46FA5"/>
    <w:rsid w:val="00B55753"/>
    <w:rsid w:val="00C04B70"/>
    <w:rsid w:val="00C253EA"/>
    <w:rsid w:val="00CB276F"/>
    <w:rsid w:val="00CF4B18"/>
    <w:rsid w:val="00DF7F5A"/>
    <w:rsid w:val="00E042F2"/>
    <w:rsid w:val="00E56412"/>
    <w:rsid w:val="00ED5E28"/>
    <w:rsid w:val="00F161F3"/>
    <w:rsid w:val="00F65AA6"/>
    <w:rsid w:val="00F73852"/>
    <w:rsid w:val="1129771B"/>
    <w:rsid w:val="14761089"/>
    <w:rsid w:val="18A404DC"/>
    <w:rsid w:val="1DE36F82"/>
    <w:rsid w:val="2014632E"/>
    <w:rsid w:val="207F6C73"/>
    <w:rsid w:val="25AC730F"/>
    <w:rsid w:val="330B49CF"/>
    <w:rsid w:val="3428494C"/>
    <w:rsid w:val="3A0A74F6"/>
    <w:rsid w:val="3FEB6B25"/>
    <w:rsid w:val="48D83C43"/>
    <w:rsid w:val="4A362946"/>
    <w:rsid w:val="4AD81A06"/>
    <w:rsid w:val="4D271610"/>
    <w:rsid w:val="4FE306B0"/>
    <w:rsid w:val="51750468"/>
    <w:rsid w:val="52C5068F"/>
    <w:rsid w:val="59433972"/>
    <w:rsid w:val="5C8A5083"/>
    <w:rsid w:val="5EA65FD3"/>
    <w:rsid w:val="6C9E49D4"/>
    <w:rsid w:val="70B238A2"/>
    <w:rsid w:val="785B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1418</Words>
  <Characters>1560</Characters>
  <Lines>5</Lines>
  <Paragraphs>1</Paragraphs>
  <TotalTime>0</TotalTime>
  <ScaleCrop>false</ScaleCrop>
  <LinksUpToDate>false</LinksUpToDate>
  <CharactersWithSpaces>1566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2023-06-10T03:56:00Z</dcterms:created>
  <dc:creator>xu</dc:creator>
  <cp:lastModifiedBy>一支穿云箭</cp:lastModifiedBy>
  <cp:lastPrinted>2024-05-13T05:51:00Z</cp:lastPrinted>
  <dcterms:modified xsi:type="dcterms:W3CDTF">2024-07-12T03:35:36Z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80C388DEF58B4D45B82D9D11EF523837_13</vt:lpwstr>
  </property>
</Properties>
</file>