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7F553">
      <w:pPr>
        <w:jc w:val="center"/>
        <w:rPr>
          <w:rFonts w:hint="eastAsia"/>
          <w:b/>
          <w:bCs/>
          <w:sz w:val="36"/>
          <w:szCs w:val="36"/>
        </w:rPr>
      </w:pPr>
      <w:r>
        <w:rPr>
          <w:rFonts w:hint="eastAsia"/>
          <w:b/>
          <w:bCs/>
          <w:sz w:val="36"/>
          <w:szCs w:val="36"/>
        </w:rPr>
        <w:t>崔庄煤矿覆岩充填注浆粉煤灰</w:t>
      </w:r>
      <w:r>
        <w:rPr>
          <w:rFonts w:hint="eastAsia"/>
          <w:b/>
          <w:bCs/>
          <w:sz w:val="36"/>
          <w:szCs w:val="36"/>
          <w:lang w:val="en-US" w:eastAsia="zh-CN"/>
        </w:rPr>
        <w:t>采购标准及</w:t>
      </w:r>
      <w:r>
        <w:rPr>
          <w:rFonts w:hint="eastAsia"/>
          <w:b/>
          <w:bCs/>
          <w:sz w:val="36"/>
          <w:szCs w:val="36"/>
        </w:rPr>
        <w:t>要求</w:t>
      </w:r>
    </w:p>
    <w:p w14:paraId="18F50E1C">
      <w:pPr>
        <w:jc w:val="center"/>
        <w:rPr>
          <w:rFonts w:hint="eastAsia"/>
          <w:b/>
          <w:bCs/>
          <w:sz w:val="36"/>
          <w:szCs w:val="36"/>
        </w:rPr>
      </w:pPr>
    </w:p>
    <w:p w14:paraId="5E8A8A72">
      <w:pPr>
        <w:numPr>
          <w:ilvl w:val="0"/>
          <w:numId w:val="1"/>
        </w:numPr>
        <w:tabs>
          <w:tab w:val="left" w:pos="306"/>
        </w:tabs>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质量要求</w:t>
      </w:r>
    </w:p>
    <w:p w14:paraId="0D7EC4BD">
      <w:pPr>
        <w:numPr>
          <w:ilvl w:val="0"/>
          <w:numId w:val="0"/>
        </w:numPr>
        <w:tabs>
          <w:tab w:val="left" w:pos="306"/>
        </w:tabs>
        <w:ind w:firstLine="600" w:firstLineChars="200"/>
        <w:rPr>
          <w:rFonts w:hint="eastAsia" w:ascii="宋体" w:hAnsi="宋体" w:eastAsia="宋体" w:cs="宋体"/>
          <w:sz w:val="30"/>
          <w:szCs w:val="30"/>
        </w:rPr>
      </w:pPr>
      <w:r>
        <w:rPr>
          <w:rFonts w:hint="eastAsia" w:ascii="宋体" w:hAnsi="宋体" w:eastAsia="宋体" w:cs="宋体"/>
          <w:sz w:val="30"/>
          <w:szCs w:val="30"/>
        </w:rPr>
        <w:t>为保证崔庄煤矿覆岩充填注浆工程质量，注浆所用粉煤灰必须达到以下质量要求：</w:t>
      </w:r>
    </w:p>
    <w:p w14:paraId="00CE2CCA">
      <w:pPr>
        <w:numPr>
          <w:ilvl w:val="0"/>
          <w:numId w:val="0"/>
        </w:numPr>
        <w:tabs>
          <w:tab w:val="left" w:pos="306"/>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eastAsia" w:ascii="宋体" w:hAnsi="宋体" w:eastAsia="宋体" w:cs="宋体"/>
          <w:sz w:val="30"/>
          <w:szCs w:val="30"/>
        </w:rPr>
        <w:t>粉煤灰达到GB/T1596-2017中规定的C类Ⅱ级粉煤灰标准，</w:t>
      </w:r>
      <w:bookmarkStart w:id="0" w:name="_Hlk141953605"/>
      <w:r>
        <w:rPr>
          <w:rFonts w:hint="eastAsia" w:ascii="宋体" w:hAnsi="宋体" w:eastAsia="宋体" w:cs="宋体"/>
          <w:sz w:val="30"/>
          <w:szCs w:val="30"/>
        </w:rPr>
        <w:t>具体要求如下</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此处所述粉煤灰为单纯细灰或原灰：细灰=1：1的混合灰(质量比）及单纯二级灰）：</w:t>
      </w:r>
    </w:p>
    <w:p w14:paraId="04C288AE">
      <w:pPr>
        <w:tabs>
          <w:tab w:val="left" w:pos="306"/>
        </w:tabs>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细度为≤30%。</w:t>
      </w:r>
    </w:p>
    <w:p w14:paraId="08CD0281">
      <w:pPr>
        <w:tabs>
          <w:tab w:val="left" w:pos="306"/>
        </w:tabs>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需水量比≤105%。</w:t>
      </w:r>
    </w:p>
    <w:p w14:paraId="245623BE">
      <w:pPr>
        <w:tabs>
          <w:tab w:val="left" w:pos="306"/>
        </w:tabs>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w:t>
      </w:r>
      <w:r>
        <w:rPr>
          <w:rFonts w:hint="eastAsia" w:ascii="宋体" w:hAnsi="宋体" w:eastAsia="宋体" w:cs="宋体"/>
          <w:sz w:val="30"/>
          <w:szCs w:val="30"/>
        </w:rPr>
        <w:t>烧失量(Loss)≤8%。</w:t>
      </w:r>
    </w:p>
    <w:p w14:paraId="51F3CC0C">
      <w:pPr>
        <w:tabs>
          <w:tab w:val="left" w:pos="306"/>
        </w:tabs>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含水量≤1%。</w:t>
      </w:r>
    </w:p>
    <w:p w14:paraId="40D6F115">
      <w:pPr>
        <w:tabs>
          <w:tab w:val="left" w:pos="306"/>
        </w:tabs>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5</w:t>
      </w:r>
      <w:r>
        <w:rPr>
          <w:rFonts w:hint="eastAsia" w:ascii="宋体" w:hAnsi="宋体" w:eastAsia="宋体" w:cs="宋体"/>
          <w:sz w:val="30"/>
          <w:szCs w:val="30"/>
          <w:lang w:eastAsia="zh-CN"/>
        </w:rPr>
        <w:t>）</w:t>
      </w:r>
      <w:r>
        <w:rPr>
          <w:rFonts w:hint="eastAsia" w:ascii="宋体" w:hAnsi="宋体" w:eastAsia="宋体" w:cs="宋体"/>
          <w:sz w:val="30"/>
          <w:szCs w:val="30"/>
        </w:rPr>
        <w:t>三氧化硫(SO3)质量分数≤3%。</w:t>
      </w:r>
    </w:p>
    <w:p w14:paraId="349B1B41">
      <w:pPr>
        <w:tabs>
          <w:tab w:val="left" w:pos="306"/>
        </w:tabs>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6</w:t>
      </w:r>
      <w:r>
        <w:rPr>
          <w:rFonts w:hint="eastAsia" w:ascii="宋体" w:hAnsi="宋体" w:eastAsia="宋体" w:cs="宋体"/>
          <w:sz w:val="30"/>
          <w:szCs w:val="30"/>
          <w:lang w:eastAsia="zh-CN"/>
        </w:rPr>
        <w:t>）</w:t>
      </w:r>
      <w:r>
        <w:rPr>
          <w:rFonts w:hint="eastAsia" w:ascii="宋体" w:hAnsi="宋体" w:eastAsia="宋体" w:cs="宋体"/>
          <w:sz w:val="30"/>
          <w:szCs w:val="30"/>
        </w:rPr>
        <w:t>游离氧化钙(f-CaO)质量分数≤4%。</w:t>
      </w:r>
    </w:p>
    <w:p w14:paraId="1A775B37">
      <w:pPr>
        <w:tabs>
          <w:tab w:val="left" w:pos="306"/>
        </w:tabs>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7</w:t>
      </w:r>
      <w:r>
        <w:rPr>
          <w:rFonts w:hint="eastAsia" w:ascii="宋体" w:hAnsi="宋体" w:eastAsia="宋体" w:cs="宋体"/>
          <w:sz w:val="30"/>
          <w:szCs w:val="30"/>
          <w:lang w:eastAsia="zh-CN"/>
        </w:rPr>
        <w:t>）</w:t>
      </w:r>
      <w:r>
        <w:rPr>
          <w:rFonts w:hint="eastAsia" w:ascii="宋体" w:hAnsi="宋体" w:eastAsia="宋体" w:cs="宋体"/>
          <w:sz w:val="30"/>
          <w:szCs w:val="30"/>
        </w:rPr>
        <w:t>二氧化硅(SiO2)三氧化二铝(AI203 和三氧化二铁(Fe203 总质量分数大于等于50%.</w:t>
      </w:r>
    </w:p>
    <w:p w14:paraId="2C9CECC9">
      <w:pPr>
        <w:tabs>
          <w:tab w:val="left" w:pos="306"/>
        </w:tabs>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8</w:t>
      </w:r>
      <w:r>
        <w:rPr>
          <w:rFonts w:hint="eastAsia" w:ascii="宋体" w:hAnsi="宋体" w:eastAsia="宋体" w:cs="宋体"/>
          <w:sz w:val="30"/>
          <w:szCs w:val="30"/>
          <w:lang w:eastAsia="zh-CN"/>
        </w:rPr>
        <w:t>）</w:t>
      </w:r>
      <w:r>
        <w:rPr>
          <w:rFonts w:hint="eastAsia" w:ascii="宋体" w:hAnsi="宋体" w:eastAsia="宋体" w:cs="宋体"/>
          <w:sz w:val="30"/>
          <w:szCs w:val="30"/>
        </w:rPr>
        <w:t>密度/(g/cm</w:t>
      </w:r>
      <w:r>
        <w:rPr>
          <w:rFonts w:hint="eastAsia" w:ascii="宋体" w:hAnsi="宋体" w:eastAsia="宋体" w:cs="宋体"/>
          <w:sz w:val="30"/>
          <w:szCs w:val="30"/>
          <w:vertAlign w:val="superscript"/>
          <w:lang w:val="en-US" w:eastAsia="zh-CN"/>
        </w:rPr>
        <w:t>2</w:t>
      </w:r>
      <w:r>
        <w:rPr>
          <w:rFonts w:hint="eastAsia" w:ascii="宋体" w:hAnsi="宋体" w:eastAsia="宋体" w:cs="宋体"/>
          <w:sz w:val="30"/>
          <w:szCs w:val="30"/>
        </w:rPr>
        <w:t>)≤2.6。</w:t>
      </w:r>
    </w:p>
    <w:p w14:paraId="535C26C4">
      <w:pPr>
        <w:tabs>
          <w:tab w:val="left" w:pos="306"/>
        </w:tabs>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9</w:t>
      </w:r>
      <w:r>
        <w:rPr>
          <w:rFonts w:hint="eastAsia" w:ascii="宋体" w:hAnsi="宋体" w:eastAsia="宋体" w:cs="宋体"/>
          <w:sz w:val="30"/>
          <w:szCs w:val="30"/>
          <w:lang w:eastAsia="zh-CN"/>
        </w:rPr>
        <w:t>）</w:t>
      </w:r>
      <w:r>
        <w:rPr>
          <w:rFonts w:hint="eastAsia" w:ascii="宋体" w:hAnsi="宋体" w:eastAsia="宋体" w:cs="宋体"/>
          <w:sz w:val="30"/>
          <w:szCs w:val="30"/>
        </w:rPr>
        <w:t>安定性(雷氏法)≤5(mm)。</w:t>
      </w:r>
    </w:p>
    <w:p w14:paraId="2F5A623C">
      <w:pPr>
        <w:tabs>
          <w:tab w:val="left" w:pos="306"/>
        </w:tabs>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10</w:t>
      </w:r>
      <w:r>
        <w:rPr>
          <w:rFonts w:hint="eastAsia" w:ascii="宋体" w:hAnsi="宋体" w:eastAsia="宋体" w:cs="宋体"/>
          <w:sz w:val="30"/>
          <w:szCs w:val="30"/>
          <w:lang w:eastAsia="zh-CN"/>
        </w:rPr>
        <w:t>）</w:t>
      </w:r>
      <w:r>
        <w:rPr>
          <w:rFonts w:hint="eastAsia" w:ascii="宋体" w:hAnsi="宋体" w:eastAsia="宋体" w:cs="宋体"/>
          <w:sz w:val="30"/>
          <w:szCs w:val="30"/>
        </w:rPr>
        <w:t>强度活性指数≤70%。</w:t>
      </w:r>
    </w:p>
    <w:bookmarkEnd w:id="0"/>
    <w:p w14:paraId="6FF0B6AE">
      <w:pPr>
        <w:tabs>
          <w:tab w:val="left" w:pos="306"/>
        </w:tabs>
        <w:ind w:firstLine="600" w:firstLineChars="200"/>
        <w:rPr>
          <w:rFonts w:ascii="宋体" w:hAnsi="宋体" w:eastAsia="宋体" w:cs="宋体"/>
          <w:sz w:val="30"/>
          <w:szCs w:val="30"/>
        </w:rPr>
      </w:pPr>
      <w:r>
        <w:rPr>
          <w:rFonts w:hint="eastAsia" w:ascii="宋体" w:hAnsi="宋体" w:eastAsia="宋体" w:cs="宋体"/>
          <w:sz w:val="30"/>
          <w:szCs w:val="30"/>
        </w:rPr>
        <w:t>为保障注浆工作的连续性，除</w:t>
      </w:r>
      <w:r>
        <w:rPr>
          <w:rFonts w:hint="eastAsia" w:ascii="宋体" w:hAnsi="宋体" w:eastAsia="宋体" w:cs="宋体"/>
          <w:sz w:val="30"/>
          <w:szCs w:val="30"/>
          <w:lang w:val="en-US" w:eastAsia="zh-CN"/>
        </w:rPr>
        <w:t>对</w:t>
      </w:r>
      <w:r>
        <w:rPr>
          <w:rFonts w:hint="eastAsia" w:ascii="宋体" w:hAnsi="宋体" w:eastAsia="宋体" w:cs="宋体"/>
          <w:sz w:val="30"/>
          <w:szCs w:val="30"/>
        </w:rPr>
        <w:t>细度</w:t>
      </w:r>
      <w:r>
        <w:rPr>
          <w:rFonts w:hint="eastAsia" w:ascii="宋体" w:hAnsi="宋体" w:eastAsia="宋体" w:cs="宋体"/>
          <w:sz w:val="30"/>
          <w:szCs w:val="30"/>
          <w:lang w:eastAsia="zh-CN"/>
        </w:rPr>
        <w:t>、</w:t>
      </w:r>
      <w:r>
        <w:rPr>
          <w:rFonts w:hint="eastAsia" w:ascii="宋体" w:hAnsi="宋体" w:eastAsia="宋体" w:cs="宋体"/>
          <w:sz w:val="30"/>
          <w:szCs w:val="30"/>
        </w:rPr>
        <w:t>需水量比</w:t>
      </w:r>
      <w:r>
        <w:rPr>
          <w:rFonts w:hint="eastAsia" w:ascii="宋体" w:hAnsi="宋体" w:eastAsia="宋体" w:cs="宋体"/>
          <w:sz w:val="30"/>
          <w:szCs w:val="30"/>
          <w:lang w:eastAsia="zh-CN"/>
        </w:rPr>
        <w:t>、</w:t>
      </w:r>
      <w:r>
        <w:rPr>
          <w:rFonts w:hint="eastAsia" w:ascii="宋体" w:hAnsi="宋体" w:eastAsia="宋体" w:cs="宋体"/>
          <w:sz w:val="30"/>
          <w:szCs w:val="30"/>
        </w:rPr>
        <w:t>烧失量</w:t>
      </w:r>
      <w:r>
        <w:rPr>
          <w:rFonts w:hint="eastAsia" w:ascii="宋体" w:hAnsi="宋体" w:eastAsia="宋体" w:cs="宋体"/>
          <w:sz w:val="30"/>
          <w:szCs w:val="30"/>
          <w:lang w:eastAsia="zh-CN"/>
        </w:rPr>
        <w:t>、</w:t>
      </w:r>
      <w:r>
        <w:rPr>
          <w:rFonts w:hint="eastAsia" w:ascii="宋体" w:hAnsi="宋体" w:eastAsia="宋体" w:cs="宋体"/>
          <w:sz w:val="30"/>
          <w:szCs w:val="30"/>
        </w:rPr>
        <w:t>密度以上四项为必须达标项外，其余项不再做硬性要求。</w:t>
      </w:r>
    </w:p>
    <w:p w14:paraId="48BC024B">
      <w:pPr>
        <w:tabs>
          <w:tab w:val="left" w:pos="306"/>
        </w:tabs>
        <w:rPr>
          <w:rFonts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必须满足现场使用要求，具体如下：</w:t>
      </w:r>
    </w:p>
    <w:p w14:paraId="4534B550">
      <w:pPr>
        <w:tabs>
          <w:tab w:val="left" w:pos="306"/>
        </w:tabs>
        <w:rPr>
          <w:rFonts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观测</w:t>
      </w:r>
    </w:p>
    <w:p w14:paraId="1BDE30F7">
      <w:pPr>
        <w:tabs>
          <w:tab w:val="left" w:pos="306"/>
        </w:tabs>
        <w:ind w:firstLine="300" w:firstLineChars="100"/>
        <w:rPr>
          <w:rFonts w:ascii="宋体" w:hAnsi="宋体" w:eastAsia="宋体" w:cs="宋体"/>
          <w:sz w:val="30"/>
          <w:szCs w:val="30"/>
        </w:rPr>
      </w:pPr>
      <w:r>
        <w:rPr>
          <w:rFonts w:hint="eastAsia" w:ascii="宋体" w:hAnsi="宋体" w:eastAsia="宋体" w:cs="宋体"/>
          <w:sz w:val="30"/>
          <w:szCs w:val="30"/>
        </w:rPr>
        <w:t xml:space="preserve">  浆液拌合后浮油较大，细度不达标</w:t>
      </w:r>
      <w:r>
        <w:rPr>
          <w:rFonts w:hint="eastAsia" w:ascii="宋体" w:hAnsi="宋体" w:eastAsia="宋体" w:cs="宋体"/>
          <w:sz w:val="30"/>
          <w:szCs w:val="30"/>
          <w:lang w:eastAsia="zh-CN"/>
        </w:rPr>
        <w:t>、</w:t>
      </w:r>
      <w:r>
        <w:rPr>
          <w:rFonts w:hint="eastAsia" w:ascii="宋体" w:hAnsi="宋体" w:eastAsia="宋体" w:cs="宋体"/>
          <w:sz w:val="30"/>
          <w:szCs w:val="30"/>
        </w:rPr>
        <w:t>有明显颗粒感，颜色深红色</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稠度大流动性小</w:t>
      </w:r>
      <w:r>
        <w:rPr>
          <w:rFonts w:hint="eastAsia" w:ascii="宋体" w:hAnsi="宋体" w:eastAsia="宋体" w:cs="宋体"/>
          <w:sz w:val="30"/>
          <w:szCs w:val="30"/>
        </w:rPr>
        <w:t>等，均直接判断为不合格灰。</w:t>
      </w:r>
    </w:p>
    <w:p w14:paraId="28507247">
      <w:pPr>
        <w:numPr>
          <w:ilvl w:val="0"/>
          <w:numId w:val="2"/>
        </w:numPr>
        <w:tabs>
          <w:tab w:val="left" w:pos="306"/>
        </w:tabs>
        <w:rPr>
          <w:rFonts w:hint="eastAsia" w:ascii="宋体" w:hAnsi="宋体" w:eastAsia="宋体" w:cs="宋体"/>
          <w:sz w:val="30"/>
          <w:szCs w:val="30"/>
        </w:rPr>
      </w:pPr>
      <w:r>
        <w:rPr>
          <w:rFonts w:hint="eastAsia" w:ascii="宋体" w:hAnsi="宋体" w:eastAsia="宋体" w:cs="宋体"/>
          <w:sz w:val="30"/>
          <w:szCs w:val="30"/>
        </w:rPr>
        <w:t>取样试验检测，须达到下表要求：</w:t>
      </w:r>
    </w:p>
    <w:tbl>
      <w:tblPr>
        <w:tblStyle w:val="2"/>
        <w:tblW w:w="83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1082"/>
        <w:gridCol w:w="1107"/>
        <w:gridCol w:w="1000"/>
        <w:gridCol w:w="1851"/>
        <w:gridCol w:w="1266"/>
        <w:gridCol w:w="1074"/>
      </w:tblGrid>
      <w:tr w14:paraId="0F7F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1005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种类</w:t>
            </w:r>
          </w:p>
        </w:tc>
        <w:tc>
          <w:tcPr>
            <w:tcW w:w="108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B2BB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水固比</w:t>
            </w:r>
          </w:p>
        </w:tc>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FBA76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w:t>
            </w:r>
          </w:p>
          <w:p w14:paraId="385BA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c>
          <w:tcPr>
            <w:tcW w:w="10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1BB4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粉煤灰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w:t>
            </w:r>
          </w:p>
        </w:tc>
        <w:tc>
          <w:tcPr>
            <w:tcW w:w="185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DE12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比重（g/cm</w:t>
            </w:r>
            <w:r>
              <w:rPr>
                <w:rFonts w:hint="eastAsia" w:ascii="宋体" w:hAnsi="宋体" w:eastAsia="宋体" w:cs="宋体"/>
                <w:i w:val="0"/>
                <w:iCs w:val="0"/>
                <w:color w:val="000000"/>
                <w:kern w:val="0"/>
                <w:sz w:val="21"/>
                <w:szCs w:val="21"/>
                <w:u w:val="none"/>
                <w:vertAlign w:val="superscript"/>
                <w:lang w:val="en-US" w:eastAsia="zh-CN" w:bidi="ar"/>
              </w:rPr>
              <w:t>3</w:t>
            </w:r>
            <w:r>
              <w:rPr>
                <w:rFonts w:hint="eastAsia" w:ascii="宋体" w:hAnsi="宋体" w:eastAsia="宋体" w:cs="宋体"/>
                <w:i w:val="0"/>
                <w:iCs w:val="0"/>
                <w:color w:val="000000"/>
                <w:kern w:val="0"/>
                <w:sz w:val="21"/>
                <w:szCs w:val="21"/>
                <w:u w:val="none"/>
                <w:lang w:val="en-US" w:eastAsia="zh-CN" w:bidi="ar"/>
              </w:rPr>
              <w:t>）</w:t>
            </w:r>
          </w:p>
        </w:tc>
        <w:tc>
          <w:tcPr>
            <w:tcW w:w="12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D84B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结石率（%）</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1082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w:t>
            </w:r>
          </w:p>
        </w:tc>
      </w:tr>
      <w:tr w14:paraId="4F2A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4C20D4">
            <w:pPr>
              <w:jc w:val="center"/>
              <w:rPr>
                <w:rFonts w:hint="eastAsia" w:ascii="宋体" w:hAnsi="宋体" w:eastAsia="宋体" w:cs="宋体"/>
                <w:i w:val="0"/>
                <w:iCs w:val="0"/>
                <w:color w:val="000000"/>
                <w:sz w:val="21"/>
                <w:szCs w:val="21"/>
                <w:u w:val="none"/>
              </w:rPr>
            </w:pPr>
          </w:p>
        </w:tc>
        <w:tc>
          <w:tcPr>
            <w:tcW w:w="10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EA7685">
            <w:pPr>
              <w:jc w:val="center"/>
              <w:rPr>
                <w:rFonts w:hint="eastAsia" w:ascii="宋体" w:hAnsi="宋体" w:eastAsia="宋体" w:cs="宋体"/>
                <w:i w:val="0"/>
                <w:iCs w:val="0"/>
                <w:color w:val="000000"/>
                <w:sz w:val="21"/>
                <w:szCs w:val="21"/>
                <w:u w:val="none"/>
              </w:rPr>
            </w:pPr>
          </w:p>
        </w:tc>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6762CA">
            <w:pPr>
              <w:jc w:val="center"/>
              <w:rPr>
                <w:rFonts w:hint="eastAsia" w:ascii="宋体" w:hAnsi="宋体" w:eastAsia="宋体" w:cs="宋体"/>
                <w:i w:val="0"/>
                <w:iCs w:val="0"/>
                <w:color w:val="000000"/>
                <w:sz w:val="21"/>
                <w:szCs w:val="21"/>
                <w:u w:val="none"/>
              </w:rPr>
            </w:pPr>
          </w:p>
        </w:tc>
        <w:tc>
          <w:tcPr>
            <w:tcW w:w="1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3031B5">
            <w:pPr>
              <w:jc w:val="center"/>
              <w:rPr>
                <w:rFonts w:hint="eastAsia" w:ascii="宋体" w:hAnsi="宋体" w:eastAsia="宋体" w:cs="宋体"/>
                <w:i w:val="0"/>
                <w:iCs w:val="0"/>
                <w:color w:val="000000"/>
                <w:sz w:val="21"/>
                <w:szCs w:val="21"/>
                <w:u w:val="none"/>
              </w:rPr>
            </w:pPr>
          </w:p>
        </w:tc>
        <w:tc>
          <w:tcPr>
            <w:tcW w:w="1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77B33F">
            <w:pPr>
              <w:jc w:val="center"/>
              <w:rPr>
                <w:rFonts w:hint="eastAsia" w:ascii="宋体" w:hAnsi="宋体" w:eastAsia="宋体" w:cs="宋体"/>
                <w:i w:val="0"/>
                <w:iCs w:val="0"/>
                <w:color w:val="000000"/>
                <w:sz w:val="21"/>
                <w:szCs w:val="21"/>
                <w:u w:val="none"/>
              </w:rPr>
            </w:pPr>
          </w:p>
        </w:tc>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6979EF">
            <w:pPr>
              <w:jc w:val="center"/>
              <w:rPr>
                <w:rFonts w:hint="eastAsia" w:ascii="宋体" w:hAnsi="宋体" w:eastAsia="宋体" w:cs="宋体"/>
                <w:i w:val="0"/>
                <w:iCs w:val="0"/>
                <w:color w:val="000000"/>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248DD3">
            <w:pPr>
              <w:jc w:val="center"/>
              <w:rPr>
                <w:rFonts w:hint="eastAsia" w:ascii="宋体" w:hAnsi="宋体" w:eastAsia="宋体" w:cs="宋体"/>
                <w:i w:val="0"/>
                <w:iCs w:val="0"/>
                <w:color w:val="000000"/>
                <w:sz w:val="21"/>
                <w:szCs w:val="21"/>
                <w:u w:val="none"/>
              </w:rPr>
            </w:pPr>
          </w:p>
        </w:tc>
      </w:tr>
      <w:tr w14:paraId="219A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79FE64">
            <w:pPr>
              <w:jc w:val="center"/>
              <w:rPr>
                <w:rFonts w:hint="eastAsia" w:ascii="宋体" w:hAnsi="宋体" w:eastAsia="宋体" w:cs="宋体"/>
                <w:i w:val="0"/>
                <w:iCs w:val="0"/>
                <w:color w:val="000000"/>
                <w:sz w:val="21"/>
                <w:szCs w:val="21"/>
                <w:u w:val="none"/>
              </w:rPr>
            </w:pPr>
          </w:p>
        </w:tc>
        <w:tc>
          <w:tcPr>
            <w:tcW w:w="10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BF762E">
            <w:pPr>
              <w:jc w:val="center"/>
              <w:rPr>
                <w:rFonts w:hint="eastAsia" w:ascii="宋体" w:hAnsi="宋体" w:eastAsia="宋体" w:cs="宋体"/>
                <w:i w:val="0"/>
                <w:iCs w:val="0"/>
                <w:color w:val="000000"/>
                <w:sz w:val="21"/>
                <w:szCs w:val="21"/>
                <w:u w:val="none"/>
              </w:rPr>
            </w:pPr>
          </w:p>
        </w:tc>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5B69C0">
            <w:pPr>
              <w:jc w:val="center"/>
              <w:rPr>
                <w:rFonts w:hint="eastAsia" w:ascii="宋体" w:hAnsi="宋体" w:eastAsia="宋体" w:cs="宋体"/>
                <w:i w:val="0"/>
                <w:iCs w:val="0"/>
                <w:color w:val="000000"/>
                <w:sz w:val="21"/>
                <w:szCs w:val="21"/>
                <w:u w:val="none"/>
              </w:rPr>
            </w:pPr>
          </w:p>
        </w:tc>
        <w:tc>
          <w:tcPr>
            <w:tcW w:w="1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61081D">
            <w:pPr>
              <w:jc w:val="center"/>
              <w:rPr>
                <w:rFonts w:hint="eastAsia" w:ascii="宋体" w:hAnsi="宋体" w:eastAsia="宋体" w:cs="宋体"/>
                <w:i w:val="0"/>
                <w:iCs w:val="0"/>
                <w:color w:val="000000"/>
                <w:sz w:val="21"/>
                <w:szCs w:val="21"/>
                <w:u w:val="none"/>
              </w:rPr>
            </w:pPr>
          </w:p>
        </w:tc>
        <w:tc>
          <w:tcPr>
            <w:tcW w:w="1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D91C45">
            <w:pPr>
              <w:jc w:val="center"/>
              <w:rPr>
                <w:rFonts w:hint="eastAsia" w:ascii="宋体" w:hAnsi="宋体" w:eastAsia="宋体" w:cs="宋体"/>
                <w:i w:val="0"/>
                <w:iCs w:val="0"/>
                <w:color w:val="000000"/>
                <w:sz w:val="21"/>
                <w:szCs w:val="21"/>
                <w:u w:val="none"/>
              </w:rPr>
            </w:pPr>
          </w:p>
        </w:tc>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AD1211">
            <w:pPr>
              <w:jc w:val="center"/>
              <w:rPr>
                <w:rFonts w:hint="eastAsia" w:ascii="宋体" w:hAnsi="宋体" w:eastAsia="宋体" w:cs="宋体"/>
                <w:i w:val="0"/>
                <w:iCs w:val="0"/>
                <w:color w:val="000000"/>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732C54">
            <w:pPr>
              <w:jc w:val="center"/>
              <w:rPr>
                <w:rFonts w:hint="eastAsia" w:ascii="宋体" w:hAnsi="宋体" w:eastAsia="宋体" w:cs="宋体"/>
                <w:i w:val="0"/>
                <w:iCs w:val="0"/>
                <w:color w:val="000000"/>
                <w:sz w:val="21"/>
                <w:szCs w:val="21"/>
                <w:u w:val="none"/>
              </w:rPr>
            </w:pPr>
          </w:p>
        </w:tc>
      </w:tr>
      <w:tr w14:paraId="37D9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DF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D5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79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2D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2D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1.26—1.40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87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65-80</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366BC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067F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2B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0B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89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32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8F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1.36—1.41</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DE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75-88</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48902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5E98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E2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AB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B7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27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6B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1.31—1.40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AD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70-84</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64154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bl>
    <w:p w14:paraId="1452C590">
      <w:pPr>
        <w:numPr>
          <w:ilvl w:val="0"/>
          <w:numId w:val="0"/>
        </w:numPr>
        <w:tabs>
          <w:tab w:val="left" w:pos="306"/>
        </w:tabs>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注：原灰</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二级灰结石率可浮动±3%，细灰的结石率下限可下浮3%，但上限不作任何浮动。</w:t>
      </w:r>
    </w:p>
    <w:p w14:paraId="07F66329">
      <w:pPr>
        <w:numPr>
          <w:ilvl w:val="0"/>
          <w:numId w:val="0"/>
        </w:numPr>
        <w:tabs>
          <w:tab w:val="left" w:pos="306"/>
        </w:tabs>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（3）检测流程</w:t>
      </w:r>
    </w:p>
    <w:p w14:paraId="0F143E71">
      <w:pPr>
        <w:numPr>
          <w:ilvl w:val="0"/>
          <w:numId w:val="0"/>
        </w:numPr>
        <w:tabs>
          <w:tab w:val="left" w:pos="306"/>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①司机进场后，停在浆站东西路上，在监控及收料人员见证取样，向收料人员出示正式电厂出厂过磅单，无法提供正式电厂出厂过磅单或磅单造假的的一律作退场处理，不予检测。</w:t>
      </w:r>
    </w:p>
    <w:p w14:paraId="6DFF0E34">
      <w:pPr>
        <w:numPr>
          <w:ilvl w:val="0"/>
          <w:numId w:val="0"/>
        </w:numPr>
        <w:tabs>
          <w:tab w:val="left" w:pos="306"/>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②司机见证现场技术人员配置浆液，经现场技术人员对粉煤灰样品及浆液认定合格后开具准入单。粉煤灰质量不合格者，立即离场，避免对浆站车辆调度造成干扰。若对现场技术人员检测结果存在分歧，由现场技术人员和供应公司人员按照标准流程各做两次，取四次检测结果的平均值作为最终检测结果，判定是否进场。</w:t>
      </w:r>
    </w:p>
    <w:p w14:paraId="6A937142">
      <w:pPr>
        <w:numPr>
          <w:ilvl w:val="0"/>
          <w:numId w:val="0"/>
        </w:numPr>
        <w:tabs>
          <w:tab w:val="left" w:pos="306"/>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③司机将准入单交矿方保卫人员并经同意后方可上磅，并同甲方过磅人员确认是否完成称重后，方可下磅。</w:t>
      </w:r>
    </w:p>
    <w:p w14:paraId="32916878">
      <w:pPr>
        <w:numPr>
          <w:ilvl w:val="0"/>
          <w:numId w:val="0"/>
        </w:numPr>
        <w:tabs>
          <w:tab w:val="left" w:pos="306"/>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二、</w:t>
      </w:r>
      <w:r>
        <w:rPr>
          <w:rFonts w:hint="default" w:ascii="宋体" w:hAnsi="宋体" w:eastAsia="宋体" w:cs="宋体"/>
          <w:sz w:val="30"/>
          <w:szCs w:val="30"/>
          <w:lang w:val="en-US" w:eastAsia="zh-CN"/>
        </w:rPr>
        <w:t>粉煤灰称重及打料注意事项</w:t>
      </w:r>
    </w:p>
    <w:p w14:paraId="75A3D073">
      <w:pPr>
        <w:numPr>
          <w:ilvl w:val="0"/>
          <w:numId w:val="0"/>
        </w:numPr>
        <w:tabs>
          <w:tab w:val="left" w:pos="306"/>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称重注意事项</w:t>
      </w:r>
    </w:p>
    <w:p w14:paraId="014D51DF">
      <w:pPr>
        <w:numPr>
          <w:ilvl w:val="0"/>
          <w:numId w:val="0"/>
        </w:numPr>
        <w:tabs>
          <w:tab w:val="left" w:pos="306"/>
        </w:tabs>
        <w:ind w:firstLine="600" w:firstLineChars="200"/>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散料罐车上磅及下磅时，</w:t>
      </w:r>
      <w:r>
        <w:rPr>
          <w:rFonts w:hint="eastAsia" w:ascii="宋体" w:hAnsi="宋体" w:eastAsia="宋体" w:cs="宋体"/>
          <w:sz w:val="30"/>
          <w:szCs w:val="30"/>
          <w:lang w:val="en-US" w:eastAsia="zh-CN"/>
        </w:rPr>
        <w:t>由于</w:t>
      </w:r>
      <w:r>
        <w:rPr>
          <w:rFonts w:hint="default" w:ascii="宋体" w:hAnsi="宋体" w:eastAsia="宋体" w:cs="宋体"/>
          <w:sz w:val="30"/>
          <w:szCs w:val="30"/>
          <w:lang w:val="en-US" w:eastAsia="zh-CN"/>
        </w:rPr>
        <w:t>场地紧凑，人员较多，注意观测周边情况，控制行车方向及速度，避免碰墙、伤人及偏压磅，确保安全</w:t>
      </w:r>
      <w:r>
        <w:rPr>
          <w:rFonts w:hint="eastAsia" w:ascii="宋体" w:hAnsi="宋体" w:eastAsia="宋体" w:cs="宋体"/>
          <w:sz w:val="30"/>
          <w:szCs w:val="30"/>
          <w:lang w:val="en-US" w:eastAsia="zh-CN"/>
        </w:rPr>
        <w:t>。对造成浆站设备、设施损毁的照价赔偿或恢复原状。</w:t>
      </w:r>
    </w:p>
    <w:p w14:paraId="052595FE">
      <w:pPr>
        <w:numPr>
          <w:ilvl w:val="0"/>
          <w:numId w:val="0"/>
        </w:numPr>
        <w:tabs>
          <w:tab w:val="left" w:pos="306"/>
        </w:tabs>
        <w:ind w:left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2.打料注意事项</w:t>
      </w:r>
    </w:p>
    <w:tbl>
      <w:tblPr>
        <w:tblStyle w:val="2"/>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765"/>
        <w:gridCol w:w="4785"/>
        <w:gridCol w:w="2130"/>
      </w:tblGrid>
      <w:tr w14:paraId="1A8A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F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流程</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9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1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注意事项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F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违规处置</w:t>
            </w:r>
          </w:p>
        </w:tc>
      </w:tr>
      <w:tr w14:paraId="7CF7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5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打料前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7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A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到控制室确认打料罐编号，按安排罐号打料，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严禁私自上料。</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1E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出现以上情形者,将视造成后果进行处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罚。</w:t>
            </w:r>
          </w:p>
        </w:tc>
      </w:tr>
      <w:tr w14:paraId="2B54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B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打料中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D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9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管路连接密封良好，不得出现跑漏灰的情况。</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DCD70">
            <w:pPr>
              <w:jc w:val="center"/>
              <w:rPr>
                <w:rFonts w:hint="eastAsia" w:ascii="宋体" w:hAnsi="宋体" w:eastAsia="宋体" w:cs="宋体"/>
                <w:i w:val="0"/>
                <w:iCs w:val="0"/>
                <w:color w:val="000000"/>
                <w:sz w:val="22"/>
                <w:szCs w:val="22"/>
                <w:u w:val="none"/>
              </w:rPr>
            </w:pPr>
          </w:p>
        </w:tc>
      </w:tr>
      <w:tr w14:paraId="4798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F8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9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B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管路连接完毕,需打开除尘开关后,方可打料。</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A22D4">
            <w:pPr>
              <w:jc w:val="center"/>
              <w:rPr>
                <w:rFonts w:hint="eastAsia" w:ascii="宋体" w:hAnsi="宋体" w:eastAsia="宋体" w:cs="宋体"/>
                <w:i w:val="0"/>
                <w:iCs w:val="0"/>
                <w:color w:val="000000"/>
                <w:sz w:val="22"/>
                <w:szCs w:val="22"/>
                <w:u w:val="none"/>
              </w:rPr>
            </w:pPr>
          </w:p>
        </w:tc>
      </w:tr>
      <w:tr w14:paraId="550D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37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2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7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打料压力控制在 0.12以内,并观察罐顶冒灰情况，及时调整压力或停止打灰。</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427F6">
            <w:pPr>
              <w:jc w:val="center"/>
              <w:rPr>
                <w:rFonts w:hint="eastAsia" w:ascii="宋体" w:hAnsi="宋体" w:eastAsia="宋体" w:cs="宋体"/>
                <w:i w:val="0"/>
                <w:iCs w:val="0"/>
                <w:color w:val="000000"/>
                <w:sz w:val="22"/>
                <w:szCs w:val="22"/>
                <w:u w:val="none"/>
              </w:rPr>
            </w:pPr>
          </w:p>
        </w:tc>
      </w:tr>
      <w:tr w14:paraId="5E6A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95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7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2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打灰结束前，提前降低压力，避免排气时，出现灌顶冒灰。</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F7A5E">
            <w:pPr>
              <w:jc w:val="center"/>
              <w:rPr>
                <w:rFonts w:hint="eastAsia" w:ascii="宋体" w:hAnsi="宋体" w:eastAsia="宋体" w:cs="宋体"/>
                <w:i w:val="0"/>
                <w:iCs w:val="0"/>
                <w:color w:val="000000"/>
                <w:sz w:val="22"/>
                <w:szCs w:val="22"/>
                <w:u w:val="none"/>
              </w:rPr>
            </w:pPr>
          </w:p>
        </w:tc>
      </w:tr>
      <w:tr w14:paraId="53F8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FB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5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7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需换罐时，应到控制室确认换罐编号，得到明确指令后方可换罐。</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F2A42">
            <w:pPr>
              <w:jc w:val="center"/>
              <w:rPr>
                <w:rFonts w:hint="eastAsia" w:ascii="宋体" w:hAnsi="宋体" w:eastAsia="宋体" w:cs="宋体"/>
                <w:i w:val="0"/>
                <w:iCs w:val="0"/>
                <w:color w:val="000000"/>
                <w:sz w:val="22"/>
                <w:szCs w:val="22"/>
                <w:u w:val="none"/>
              </w:rPr>
            </w:pPr>
          </w:p>
        </w:tc>
      </w:tr>
      <w:tr w14:paraId="6249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F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打料后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1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7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打料后过磅去皮，下磅通过洗车台时应减慢车速，确认车辆清洗干净后，方可驶离。</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AE67B">
            <w:pPr>
              <w:jc w:val="center"/>
              <w:rPr>
                <w:rFonts w:hint="eastAsia" w:ascii="宋体" w:hAnsi="宋体" w:eastAsia="宋体" w:cs="宋体"/>
                <w:i w:val="0"/>
                <w:iCs w:val="0"/>
                <w:color w:val="000000"/>
                <w:sz w:val="22"/>
                <w:szCs w:val="22"/>
                <w:u w:val="none"/>
              </w:rPr>
            </w:pPr>
          </w:p>
        </w:tc>
      </w:tr>
      <w:tr w14:paraId="4F31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B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安全提示</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F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出入场及场内行车应左右观察、放慢车速，确保行车安全。</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23403">
            <w:pPr>
              <w:jc w:val="center"/>
              <w:rPr>
                <w:rFonts w:hint="eastAsia" w:ascii="宋体" w:hAnsi="宋体" w:eastAsia="宋体" w:cs="宋体"/>
                <w:i w:val="0"/>
                <w:iCs w:val="0"/>
                <w:color w:val="000000"/>
                <w:sz w:val="22"/>
                <w:szCs w:val="22"/>
                <w:u w:val="none"/>
              </w:rPr>
            </w:pPr>
          </w:p>
        </w:tc>
      </w:tr>
    </w:tbl>
    <w:p w14:paraId="0A4FD457">
      <w:pPr>
        <w:numPr>
          <w:ilvl w:val="0"/>
          <w:numId w:val="0"/>
        </w:numPr>
        <w:tabs>
          <w:tab w:val="left" w:pos="306"/>
        </w:tabs>
        <w:ind w:leftChars="0"/>
        <w:rPr>
          <w:rFonts w:hint="default" w:ascii="宋体" w:hAnsi="宋体" w:eastAsia="宋体" w:cs="宋体"/>
          <w:sz w:val="30"/>
          <w:szCs w:val="30"/>
          <w:lang w:val="en-US" w:eastAsia="zh-CN"/>
        </w:rPr>
      </w:pPr>
    </w:p>
    <w:p w14:paraId="4F1849F3">
      <w:pPr>
        <w:numPr>
          <w:ilvl w:val="0"/>
          <w:numId w:val="0"/>
        </w:numPr>
        <w:tabs>
          <w:tab w:val="left" w:pos="306"/>
        </w:tabs>
        <w:ind w:left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三、供应商须提供粉煤灰直供货源单位，并提供发票税率为13%。</w:t>
      </w:r>
    </w:p>
    <w:p w14:paraId="5FA91EED">
      <w:pPr>
        <w:numPr>
          <w:ilvl w:val="0"/>
          <w:numId w:val="0"/>
        </w:numPr>
        <w:tabs>
          <w:tab w:val="left" w:pos="306"/>
        </w:tabs>
        <w:ind w:leftChars="0"/>
        <w:rPr>
          <w:rFonts w:hint="eastAsia" w:ascii="宋体" w:hAnsi="宋体" w:eastAsia="宋体" w:cs="宋体"/>
          <w:sz w:val="30"/>
          <w:szCs w:val="30"/>
        </w:rPr>
      </w:pPr>
      <w:r>
        <w:rPr>
          <w:rFonts w:hint="eastAsia" w:ascii="宋体" w:hAnsi="宋体" w:eastAsia="宋体" w:cs="宋体"/>
          <w:sz w:val="30"/>
          <w:szCs w:val="30"/>
          <w:lang w:val="en-US" w:eastAsia="zh-CN"/>
        </w:rPr>
        <w:t>四、</w:t>
      </w:r>
      <w:r>
        <w:rPr>
          <w:rFonts w:hint="eastAsia" w:ascii="宋体" w:hAnsi="宋体" w:eastAsia="宋体" w:cs="宋体"/>
          <w:sz w:val="30"/>
          <w:szCs w:val="30"/>
        </w:rPr>
        <w:t>其他说明</w:t>
      </w:r>
    </w:p>
    <w:p w14:paraId="6D545356">
      <w:pPr>
        <w:numPr>
          <w:ilvl w:val="0"/>
          <w:numId w:val="0"/>
        </w:numPr>
        <w:tabs>
          <w:tab w:val="left" w:pos="306"/>
        </w:tabs>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1.为保证供应粉煤灰的质量与数量，</w:t>
      </w:r>
      <w:r>
        <w:rPr>
          <w:rFonts w:hint="eastAsia" w:ascii="宋体" w:hAnsi="宋体" w:eastAsia="宋体" w:cs="宋体"/>
          <w:sz w:val="30"/>
          <w:szCs w:val="30"/>
        </w:rPr>
        <w:t>供应商</w:t>
      </w:r>
      <w:r>
        <w:rPr>
          <w:rFonts w:hint="eastAsia" w:ascii="宋体" w:hAnsi="宋体" w:eastAsia="宋体" w:cs="宋体"/>
          <w:sz w:val="30"/>
          <w:szCs w:val="30"/>
          <w:lang w:val="en-US" w:eastAsia="zh-CN"/>
        </w:rPr>
        <w:t>可提供多个电厂的灰样，但每个送到浆站检测的灰样均需进行国检，中标后进场时需向现场负责人提供送检灰样的国检合格报告。</w:t>
      </w:r>
    </w:p>
    <w:p w14:paraId="2D3E35F2">
      <w:pPr>
        <w:numPr>
          <w:ilvl w:val="0"/>
          <w:numId w:val="0"/>
        </w:numPr>
        <w:tabs>
          <w:tab w:val="left" w:pos="306"/>
        </w:tabs>
        <w:ind w:leftChars="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供应商须与崔庄</w:t>
      </w:r>
      <w:r>
        <w:rPr>
          <w:rFonts w:hint="eastAsia" w:ascii="宋体" w:hAnsi="宋体" w:eastAsia="宋体" w:cs="宋体"/>
          <w:sz w:val="30"/>
          <w:szCs w:val="30"/>
          <w:lang w:val="en-US" w:eastAsia="zh-CN"/>
        </w:rPr>
        <w:t>煤矿现场</w:t>
      </w:r>
      <w:r>
        <w:rPr>
          <w:rFonts w:hint="eastAsia" w:ascii="宋体" w:hAnsi="宋体" w:eastAsia="宋体" w:cs="宋体"/>
          <w:sz w:val="30"/>
          <w:szCs w:val="30"/>
        </w:rPr>
        <w:t>负责人员做好对接，</w:t>
      </w:r>
      <w:r>
        <w:rPr>
          <w:rFonts w:hint="eastAsia" w:ascii="宋体" w:hAnsi="宋体" w:eastAsia="宋体" w:cs="宋体"/>
          <w:sz w:val="30"/>
          <w:szCs w:val="30"/>
          <w:lang w:val="en-US" w:eastAsia="zh-CN"/>
        </w:rPr>
        <w:t>保证供应的稳定性与连续性，</w:t>
      </w:r>
      <w:r>
        <w:rPr>
          <w:rFonts w:hint="eastAsia" w:ascii="宋体" w:hAnsi="宋体" w:eastAsia="宋体" w:cs="宋体"/>
          <w:sz w:val="30"/>
          <w:szCs w:val="30"/>
        </w:rPr>
        <w:t>并</w:t>
      </w:r>
      <w:r>
        <w:rPr>
          <w:rFonts w:hint="eastAsia" w:ascii="宋体" w:hAnsi="宋体" w:eastAsia="宋体" w:cs="宋体"/>
          <w:sz w:val="30"/>
          <w:szCs w:val="30"/>
          <w:lang w:val="en-US" w:eastAsia="zh-CN"/>
        </w:rPr>
        <w:t>由供应商</w:t>
      </w:r>
      <w:r>
        <w:rPr>
          <w:rFonts w:hint="eastAsia" w:ascii="宋体" w:hAnsi="宋体" w:eastAsia="宋体" w:cs="宋体"/>
          <w:sz w:val="30"/>
          <w:szCs w:val="30"/>
        </w:rPr>
        <w:t>负责协调地方</w:t>
      </w:r>
      <w:r>
        <w:rPr>
          <w:rFonts w:hint="eastAsia" w:ascii="宋体" w:hAnsi="宋体" w:eastAsia="宋体" w:cs="宋体"/>
          <w:sz w:val="30"/>
          <w:szCs w:val="30"/>
          <w:lang w:val="en-US" w:eastAsia="zh-CN"/>
        </w:rPr>
        <w:t>关系</w:t>
      </w:r>
      <w:r>
        <w:rPr>
          <w:rFonts w:hint="eastAsia" w:ascii="宋体" w:hAnsi="宋体" w:eastAsia="宋体" w:cs="宋体"/>
          <w:sz w:val="30"/>
          <w:szCs w:val="30"/>
        </w:rPr>
        <w:t>等一切事</w:t>
      </w:r>
      <w:r>
        <w:rPr>
          <w:rFonts w:hint="eastAsia" w:ascii="宋体" w:hAnsi="宋体" w:eastAsia="宋体" w:cs="宋体"/>
          <w:sz w:val="30"/>
          <w:szCs w:val="30"/>
          <w:lang w:val="en-US" w:eastAsia="zh-CN"/>
        </w:rPr>
        <w:t>宜</w:t>
      </w:r>
      <w:r>
        <w:rPr>
          <w:rFonts w:hint="eastAsia" w:ascii="宋体" w:hAnsi="宋体" w:eastAsia="宋体" w:cs="宋体"/>
          <w:sz w:val="30"/>
          <w:szCs w:val="30"/>
        </w:rPr>
        <w:t>。</w:t>
      </w:r>
    </w:p>
    <w:p w14:paraId="04DA3967">
      <w:pPr>
        <w:tabs>
          <w:tab w:val="left" w:pos="306"/>
        </w:tabs>
        <w:rPr>
          <w:rFonts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因现场粉煤灰用量较大，理化指标无法做到及时送检，将分批次集中委托具有相应资质的第三方检测机构进行检测，为保证所用粉煤灰质量，需进行现场取样检测，合格后方可进场打料。</w:t>
      </w:r>
    </w:p>
    <w:p w14:paraId="64EFBC0C">
      <w:pPr>
        <w:tabs>
          <w:tab w:val="left" w:pos="306"/>
        </w:tabs>
        <w:rPr>
          <w:rFonts w:hint="default" w:ascii="宋体" w:hAnsi="宋体" w:eastAsia="宋体" w:cs="宋体"/>
          <w:sz w:val="30"/>
          <w:szCs w:val="30"/>
          <w:lang w:val="en-US" w:eastAsia="zh-CN"/>
        </w:rPr>
      </w:pPr>
      <w:bookmarkStart w:id="1" w:name="_Hlk141954182"/>
      <w:r>
        <w:rPr>
          <w:rFonts w:hint="eastAsia" w:ascii="宋体" w:hAnsi="宋体" w:eastAsia="宋体" w:cs="宋体"/>
          <w:sz w:val="30"/>
          <w:szCs w:val="30"/>
          <w:lang w:val="en-US" w:eastAsia="zh-CN"/>
        </w:rPr>
        <w:t>4.</w:t>
      </w:r>
      <w:r>
        <w:rPr>
          <w:rFonts w:hint="eastAsia" w:ascii="宋体" w:hAnsi="宋体" w:eastAsia="宋体" w:cs="宋体"/>
          <w:sz w:val="30"/>
          <w:szCs w:val="30"/>
        </w:rPr>
        <w:t>供货商必须保证所供应粉煤灰</w:t>
      </w:r>
      <w:bookmarkEnd w:id="1"/>
      <w:r>
        <w:rPr>
          <w:rFonts w:hint="eastAsia" w:ascii="宋体" w:hAnsi="宋体" w:eastAsia="宋体" w:cs="宋体"/>
          <w:sz w:val="30"/>
          <w:szCs w:val="30"/>
        </w:rPr>
        <w:t>与</w:t>
      </w:r>
      <w:bookmarkStart w:id="2" w:name="_Hlk141953985"/>
      <w:r>
        <w:rPr>
          <w:rFonts w:hint="eastAsia" w:ascii="宋体" w:hAnsi="宋体" w:eastAsia="宋体" w:cs="宋体"/>
          <w:sz w:val="30"/>
          <w:szCs w:val="30"/>
        </w:rPr>
        <w:t>送检粉煤灰样品质量一致</w:t>
      </w:r>
      <w:bookmarkEnd w:id="2"/>
      <w:r>
        <w:rPr>
          <w:rFonts w:hint="eastAsia" w:ascii="宋体" w:hAnsi="宋体" w:eastAsia="宋体" w:cs="宋体"/>
          <w:sz w:val="30"/>
          <w:szCs w:val="30"/>
        </w:rPr>
        <w:t>，杜绝弄虚作假，凡发现实际到场粉煤灰与送检粉煤灰样品质量不一致</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无法提供正式电厂出厂榜单、</w:t>
      </w:r>
      <w:r>
        <w:rPr>
          <w:rFonts w:hint="eastAsia" w:ascii="宋体" w:hAnsi="宋体" w:eastAsia="宋体" w:cs="宋体"/>
          <w:sz w:val="30"/>
          <w:szCs w:val="30"/>
        </w:rPr>
        <w:t>以及夹心灰、提前备好灰样者，一律做退回处理，所产生费用自理</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并进行一定数额的罚款。对</w:t>
      </w:r>
      <w:r>
        <w:rPr>
          <w:rFonts w:hint="eastAsia" w:ascii="宋体" w:hAnsi="宋体" w:eastAsia="宋体" w:cs="宋体"/>
          <w:sz w:val="30"/>
          <w:szCs w:val="30"/>
        </w:rPr>
        <w:t>现场取样检测</w:t>
      </w:r>
      <w:r>
        <w:rPr>
          <w:rFonts w:hint="eastAsia" w:ascii="宋体" w:hAnsi="宋体" w:eastAsia="宋体" w:cs="宋体"/>
          <w:sz w:val="30"/>
          <w:szCs w:val="30"/>
          <w:lang w:val="en-US" w:eastAsia="zh-CN"/>
        </w:rPr>
        <w:t>有异议的，当场封存样品（3公斤以上）送</w:t>
      </w:r>
      <w:r>
        <w:rPr>
          <w:rFonts w:hint="eastAsia" w:ascii="宋体" w:hAnsi="宋体" w:eastAsia="宋体" w:cs="宋体"/>
          <w:sz w:val="30"/>
          <w:szCs w:val="30"/>
        </w:rPr>
        <w:t>第三方</w:t>
      </w:r>
      <w:r>
        <w:rPr>
          <w:rFonts w:hint="eastAsia" w:ascii="宋体" w:hAnsi="宋体" w:eastAsia="宋体" w:cs="宋体"/>
          <w:sz w:val="30"/>
          <w:szCs w:val="30"/>
          <w:lang w:val="en-US" w:eastAsia="zh-CN"/>
        </w:rPr>
        <w:t>具有检测资质</w:t>
      </w:r>
      <w:r>
        <w:rPr>
          <w:rFonts w:hint="eastAsia" w:ascii="宋体" w:hAnsi="宋体" w:eastAsia="宋体" w:cs="宋体"/>
          <w:sz w:val="30"/>
          <w:szCs w:val="30"/>
        </w:rPr>
        <w:t>检测机构进行检测</w:t>
      </w:r>
      <w:r>
        <w:rPr>
          <w:rFonts w:hint="eastAsia" w:ascii="宋体" w:hAnsi="宋体" w:eastAsia="宋体" w:cs="宋体"/>
          <w:sz w:val="30"/>
          <w:szCs w:val="30"/>
          <w:lang w:eastAsia="zh-CN"/>
        </w:rPr>
        <w:t>，</w:t>
      </w:r>
      <w:r>
        <w:rPr>
          <w:rFonts w:hint="eastAsia" w:ascii="宋体" w:hAnsi="宋体" w:eastAsia="宋体" w:cs="宋体"/>
          <w:sz w:val="30"/>
          <w:szCs w:val="30"/>
        </w:rPr>
        <w:t>检测</w:t>
      </w:r>
      <w:r>
        <w:rPr>
          <w:rFonts w:hint="eastAsia" w:ascii="宋体" w:hAnsi="宋体" w:eastAsia="宋体" w:cs="宋体"/>
          <w:sz w:val="30"/>
          <w:szCs w:val="30"/>
          <w:lang w:val="en-US" w:eastAsia="zh-CN"/>
        </w:rPr>
        <w:t>费用由供应商负责</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但具有检测资质第三方检测结果不作为判定该粉煤灰是否符合注浆使用的唯一标准，仅作为是否满足</w:t>
      </w:r>
      <w:r>
        <w:rPr>
          <w:rFonts w:hint="eastAsia" w:ascii="宋体" w:hAnsi="宋体" w:eastAsia="宋体" w:cs="宋体"/>
          <w:sz w:val="30"/>
          <w:szCs w:val="30"/>
        </w:rPr>
        <w:t>GB/T1596-2017中规定的C类Ⅱ级粉煤灰标准</w:t>
      </w:r>
      <w:r>
        <w:rPr>
          <w:rFonts w:hint="eastAsia" w:ascii="宋体" w:hAnsi="宋体" w:eastAsia="宋体" w:cs="宋体"/>
          <w:sz w:val="30"/>
          <w:szCs w:val="30"/>
          <w:lang w:val="en-US" w:eastAsia="zh-CN"/>
        </w:rPr>
        <w:t>的依据。</w:t>
      </w:r>
    </w:p>
    <w:p w14:paraId="225862BC">
      <w:pPr>
        <w:tabs>
          <w:tab w:val="left" w:pos="306"/>
        </w:tabs>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ascii="宋体" w:hAnsi="宋体" w:eastAsia="宋体" w:cs="宋体"/>
          <w:sz w:val="30"/>
          <w:szCs w:val="30"/>
        </w:rPr>
        <w:t>.</w:t>
      </w:r>
      <w:r>
        <w:rPr>
          <w:rFonts w:hint="eastAsia" w:ascii="宋体" w:hAnsi="宋体" w:eastAsia="宋体" w:cs="宋体"/>
          <w:sz w:val="30"/>
          <w:szCs w:val="30"/>
        </w:rPr>
        <w:t>供货商应严格按照注浆站生产计划，足量供应</w:t>
      </w:r>
      <w:r>
        <w:rPr>
          <w:rFonts w:hint="eastAsia" w:ascii="宋体" w:hAnsi="宋体" w:eastAsia="宋体" w:cs="宋体"/>
          <w:sz w:val="30"/>
          <w:szCs w:val="30"/>
          <w:lang w:val="en-US" w:eastAsia="zh-CN"/>
        </w:rPr>
        <w:t>满足注浆工作使用要求的</w:t>
      </w:r>
      <w:r>
        <w:rPr>
          <w:rFonts w:hint="eastAsia" w:ascii="宋体" w:hAnsi="宋体" w:eastAsia="宋体" w:cs="宋体"/>
          <w:sz w:val="30"/>
          <w:szCs w:val="30"/>
        </w:rPr>
        <w:t>粉煤灰，且有</w:t>
      </w:r>
      <w:r>
        <w:rPr>
          <w:rFonts w:ascii="宋体" w:hAnsi="宋体" w:eastAsia="宋体" w:cs="宋体"/>
          <w:sz w:val="30"/>
          <w:szCs w:val="30"/>
        </w:rPr>
        <w:t>150</w:t>
      </w:r>
      <w:r>
        <w:rPr>
          <w:rFonts w:hint="eastAsia" w:ascii="宋体" w:hAnsi="宋体" w:eastAsia="宋体" w:cs="宋体"/>
          <w:sz w:val="30"/>
          <w:szCs w:val="30"/>
        </w:rPr>
        <w:t>—</w:t>
      </w:r>
      <w:r>
        <w:rPr>
          <w:rFonts w:ascii="宋体" w:hAnsi="宋体" w:eastAsia="宋体" w:cs="宋体"/>
          <w:sz w:val="30"/>
          <w:szCs w:val="30"/>
        </w:rPr>
        <w:t>200</w:t>
      </w:r>
      <w:r>
        <w:rPr>
          <w:rFonts w:hint="eastAsia" w:ascii="宋体" w:hAnsi="宋体" w:eastAsia="宋体" w:cs="宋体"/>
          <w:sz w:val="30"/>
          <w:szCs w:val="30"/>
        </w:rPr>
        <w:t>吨的余量，现场应安排联络人员调度车辆，以保证供应正常。</w:t>
      </w:r>
    </w:p>
    <w:p w14:paraId="7CCF23B7">
      <w:pPr>
        <w:tabs>
          <w:tab w:val="left" w:pos="306"/>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发现提供假磅单3次以上或供应粉煤灰与进入招标提供厂家粉煤灰颜色、比重、结石率明显不符5次以上者，采购方可暂停该公司供应，进行协商，并由供应商提供相关佐证。暂停供应期间为保证注浆工作的连续性，采购方有权另行补充灰源，补充灰源优先进场，中标供应商不得阻挠，若出现阻挠现象，影响注浆工作，将终止中标供应商供应，并有权解除供货合同。</w:t>
      </w:r>
    </w:p>
    <w:p w14:paraId="53ABC1EE">
      <w:pPr>
        <w:tabs>
          <w:tab w:val="left" w:pos="306"/>
        </w:tabs>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7.供应商及司机要服从现场安全、环保等管理，配合浆站注浆工作，对不服从浆站管理的司机进行拉黑处理，拒绝再次进场。</w:t>
      </w:r>
    </w:p>
    <w:p w14:paraId="1581DDB2">
      <w:pPr>
        <w:tabs>
          <w:tab w:val="left" w:pos="306"/>
        </w:tabs>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8.二级灰可单独使用，但不得作为细灰与原灰进行配比。</w:t>
      </w:r>
    </w:p>
    <w:p w14:paraId="5ABED6AD">
      <w:pPr>
        <w:tabs>
          <w:tab w:val="left" w:pos="306"/>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9.供应商供应前须以纸质版材料说明货源地、厂家、粉煤灰的类别。若供应期间出现上述备案厂家粉煤灰的质量和数量无法满足注浆工作需求，供应商拟供应其他厂家的粉煤灰时，须提出书面申请及具有检测资质第三方检测合格报告，现场检测满足使用要求，并经同意后方可供应。</w:t>
      </w:r>
    </w:p>
    <w:p w14:paraId="5158D93E">
      <w:pPr>
        <w:tabs>
          <w:tab w:val="left" w:pos="306"/>
        </w:tabs>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10.为保证注浆工艺的稳定性，供应商须保证供应原灰与细灰比例的动态平衡，若原灰超出细灰1000吨，经催告后在规定期限或24小时内（以先到为准）</w:t>
      </w:r>
      <w:bookmarkStart w:id="3" w:name="_GoBack"/>
      <w:bookmarkEnd w:id="3"/>
      <w:r>
        <w:rPr>
          <w:rFonts w:hint="eastAsia" w:ascii="宋体" w:hAnsi="宋体" w:eastAsia="宋体" w:cs="宋体"/>
          <w:sz w:val="30"/>
          <w:szCs w:val="30"/>
          <w:lang w:val="en-US" w:eastAsia="zh-CN"/>
        </w:rPr>
        <w:t>仍无法达到比例平衡，采购方可暂停该公司供应，进行协商。暂停供应期间采购方有权另行补充灰源，补充灰源优先进场，中标供应商不得阻挠，若出现阻挠现象，影响注浆工作，将终止中标供应商供应，并有权解除供货合同。</w:t>
      </w:r>
    </w:p>
    <w:p w14:paraId="758C2BED">
      <w:pPr>
        <w:tabs>
          <w:tab w:val="left" w:pos="306"/>
        </w:tabs>
        <w:rPr>
          <w:rFonts w:hint="default" w:ascii="宋体" w:hAnsi="宋体" w:eastAsia="宋体" w:cs="宋体"/>
          <w:sz w:val="30"/>
          <w:szCs w:val="30"/>
          <w:lang w:val="en-US" w:eastAsia="zh-CN"/>
        </w:rPr>
      </w:pPr>
    </w:p>
    <w:p w14:paraId="4AF1DC9F">
      <w:pPr>
        <w:tabs>
          <w:tab w:val="left" w:pos="306"/>
        </w:tabs>
        <w:rPr>
          <w:rFonts w:hint="default" w:ascii="宋体" w:hAnsi="宋体" w:eastAsia="宋体" w:cs="宋体"/>
          <w:sz w:val="30"/>
          <w:szCs w:val="30"/>
          <w:lang w:val="en-US" w:eastAsia="zh-CN"/>
        </w:rPr>
      </w:pPr>
    </w:p>
    <w:p w14:paraId="415C6BD5">
      <w:pPr>
        <w:tabs>
          <w:tab w:val="left" w:pos="306"/>
        </w:tabs>
        <w:rPr>
          <w:rFonts w:hint="default" w:ascii="宋体" w:hAnsi="宋体" w:eastAsia="宋体" w:cs="宋体"/>
          <w:sz w:val="30"/>
          <w:szCs w:val="30"/>
          <w:lang w:val="en-US" w:eastAsia="zh-CN"/>
        </w:rPr>
      </w:pPr>
    </w:p>
    <w:p w14:paraId="34C71D77">
      <w:pPr>
        <w:tabs>
          <w:tab w:val="left" w:pos="306"/>
        </w:tabs>
        <w:ind w:firstLine="600" w:firstLineChars="200"/>
        <w:rPr>
          <w:rFonts w:ascii="仿宋" w:hAnsi="仿宋" w:eastAsia="仿宋" w:cs="仿宋"/>
          <w:sz w:val="30"/>
          <w:szCs w:val="30"/>
        </w:rPr>
      </w:pPr>
      <w:r>
        <w:rPr>
          <w:rFonts w:hint="eastAsia" w:ascii="宋体" w:hAnsi="宋体" w:eastAsia="宋体" w:cs="宋体"/>
          <w:sz w:val="30"/>
          <w:szCs w:val="30"/>
        </w:rPr>
        <w:t>采购方综合价格、质量、货源厂家、供应保证量、服务等进行评选确定供应商。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AF9F5"/>
    <w:multiLevelType w:val="singleLevel"/>
    <w:tmpl w:val="953AF9F5"/>
    <w:lvl w:ilvl="0" w:tentative="0">
      <w:start w:val="1"/>
      <w:numFmt w:val="chineseCounting"/>
      <w:suff w:val="nothing"/>
      <w:lvlText w:val="%1、"/>
      <w:lvlJc w:val="left"/>
      <w:rPr>
        <w:rFonts w:hint="eastAsia"/>
      </w:rPr>
    </w:lvl>
  </w:abstractNum>
  <w:abstractNum w:abstractNumId="1">
    <w:nsid w:val="61C455B8"/>
    <w:multiLevelType w:val="singleLevel"/>
    <w:tmpl w:val="61C455B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YzBkOGI2NmEwZGQ5MGI4YmUwMjU4M2Q0ZjNjYzUifQ=="/>
  </w:docVars>
  <w:rsids>
    <w:rsidRoot w:val="00762A25"/>
    <w:rsid w:val="000259E8"/>
    <w:rsid w:val="000461C8"/>
    <w:rsid w:val="000674B7"/>
    <w:rsid w:val="000C0818"/>
    <w:rsid w:val="000E3DE9"/>
    <w:rsid w:val="00121A40"/>
    <w:rsid w:val="001D6403"/>
    <w:rsid w:val="00233E8E"/>
    <w:rsid w:val="0034330F"/>
    <w:rsid w:val="003877EF"/>
    <w:rsid w:val="003D79C7"/>
    <w:rsid w:val="00442DA6"/>
    <w:rsid w:val="00465052"/>
    <w:rsid w:val="00534791"/>
    <w:rsid w:val="006C586A"/>
    <w:rsid w:val="00762A25"/>
    <w:rsid w:val="007D4FDF"/>
    <w:rsid w:val="00801897"/>
    <w:rsid w:val="00826740"/>
    <w:rsid w:val="008A40E0"/>
    <w:rsid w:val="008C50B3"/>
    <w:rsid w:val="00911ED9"/>
    <w:rsid w:val="00916AE9"/>
    <w:rsid w:val="009F286A"/>
    <w:rsid w:val="00A176C2"/>
    <w:rsid w:val="00A866C7"/>
    <w:rsid w:val="00B46FA5"/>
    <w:rsid w:val="00B55753"/>
    <w:rsid w:val="00C04B70"/>
    <w:rsid w:val="00C253EA"/>
    <w:rsid w:val="00CB276F"/>
    <w:rsid w:val="00CF4B18"/>
    <w:rsid w:val="00DF7F5A"/>
    <w:rsid w:val="00E042F2"/>
    <w:rsid w:val="00E56412"/>
    <w:rsid w:val="00ED5E28"/>
    <w:rsid w:val="00F161F3"/>
    <w:rsid w:val="00F65AA6"/>
    <w:rsid w:val="00F73852"/>
    <w:rsid w:val="014E2887"/>
    <w:rsid w:val="02A53929"/>
    <w:rsid w:val="10015291"/>
    <w:rsid w:val="103E20F7"/>
    <w:rsid w:val="1129771B"/>
    <w:rsid w:val="12557782"/>
    <w:rsid w:val="14761089"/>
    <w:rsid w:val="18A404DC"/>
    <w:rsid w:val="1DE36F82"/>
    <w:rsid w:val="2014632E"/>
    <w:rsid w:val="207F6C73"/>
    <w:rsid w:val="23847054"/>
    <w:rsid w:val="25AC730F"/>
    <w:rsid w:val="28C77A33"/>
    <w:rsid w:val="2D0930AB"/>
    <w:rsid w:val="330B49CF"/>
    <w:rsid w:val="3428494C"/>
    <w:rsid w:val="3A0A74F6"/>
    <w:rsid w:val="3B4200A1"/>
    <w:rsid w:val="3FE82031"/>
    <w:rsid w:val="3FEB6B25"/>
    <w:rsid w:val="40513BCA"/>
    <w:rsid w:val="44845273"/>
    <w:rsid w:val="4A362946"/>
    <w:rsid w:val="4AD81A06"/>
    <w:rsid w:val="4B035790"/>
    <w:rsid w:val="4B864AB0"/>
    <w:rsid w:val="4D271610"/>
    <w:rsid w:val="4E287997"/>
    <w:rsid w:val="4FE306B0"/>
    <w:rsid w:val="51750468"/>
    <w:rsid w:val="52C5068F"/>
    <w:rsid w:val="59433972"/>
    <w:rsid w:val="5AE76118"/>
    <w:rsid w:val="5B673E67"/>
    <w:rsid w:val="5C8A5083"/>
    <w:rsid w:val="5DBA5E4F"/>
    <w:rsid w:val="5EA65FD3"/>
    <w:rsid w:val="5EEA4692"/>
    <w:rsid w:val="65181B34"/>
    <w:rsid w:val="6C9E49D4"/>
    <w:rsid w:val="70B238A2"/>
    <w:rsid w:val="727F7745"/>
    <w:rsid w:val="785B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2258</Words>
  <Characters>2425</Characters>
  <Lines>5</Lines>
  <Paragraphs>1</Paragraphs>
  <TotalTime>9</TotalTime>
  <ScaleCrop>false</ScaleCrop>
  <LinksUpToDate>false</LinksUpToDate>
  <CharactersWithSpaces>2430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2023-06-10T03:56:00Z</dcterms:created>
  <dc:creator>xu</dc:creator>
  <cp:lastModifiedBy>J.</cp:lastModifiedBy>
  <cp:lastPrinted>2024-05-13T05:51:00Z</cp:lastPrinted>
  <dcterms:modified xsi:type="dcterms:W3CDTF">2024-08-07T09:13:30Z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62B31D80BB0F402FAE716E1CB1BC1DB9_13</vt:lpwstr>
  </property>
</Properties>
</file>