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846CF">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eastAsia="宋体"/>
          <w:b/>
          <w:bCs/>
          <w:sz w:val="28"/>
          <w:szCs w:val="28"/>
          <w:lang w:eastAsia="zh-CN"/>
        </w:rPr>
      </w:pPr>
      <w:bookmarkStart w:id="0" w:name="_GoBack"/>
      <w:bookmarkEnd w:id="0"/>
      <w:r>
        <w:rPr>
          <w:rFonts w:hint="eastAsia"/>
          <w:b/>
          <w:bCs/>
          <w:sz w:val="28"/>
          <w:szCs w:val="28"/>
        </w:rPr>
        <w:t>夏镇街道东翁楼、大薛庄、小官口等小区供热配套设施工程（跟踪审计</w:t>
      </w:r>
      <w:r>
        <w:rPr>
          <w:rFonts w:hint="eastAsia" w:eastAsia="宋体"/>
          <w:b/>
          <w:bCs/>
          <w:sz w:val="28"/>
          <w:szCs w:val="28"/>
          <w:lang w:eastAsia="zh-CN"/>
        </w:rPr>
        <w:t>）</w:t>
      </w:r>
    </w:p>
    <w:p w14:paraId="136F976E">
      <w:pPr>
        <w:keepNext w:val="0"/>
        <w:keepLines w:val="0"/>
        <w:pageBreakBefore w:val="0"/>
        <w:widowControl/>
        <w:kinsoku w:val="0"/>
        <w:wordWrap/>
        <w:overflowPunct/>
        <w:topLinePunct w:val="0"/>
        <w:autoSpaceDE w:val="0"/>
        <w:autoSpaceDN w:val="0"/>
        <w:bidi w:val="0"/>
        <w:adjustRightInd w:val="0"/>
        <w:snapToGrid w:val="0"/>
        <w:spacing w:after="157" w:afterLines="50" w:line="520" w:lineRule="exact"/>
        <w:jc w:val="center"/>
        <w:textAlignment w:val="baseline"/>
        <w:rPr>
          <w:rFonts w:hint="default"/>
          <w:b/>
          <w:bCs/>
          <w:sz w:val="28"/>
          <w:szCs w:val="28"/>
          <w:lang w:val="en-US" w:eastAsia="zh-CN"/>
        </w:rPr>
      </w:pPr>
      <w:r>
        <w:rPr>
          <w:rFonts w:hint="eastAsia" w:eastAsia="宋体"/>
          <w:b/>
          <w:bCs/>
          <w:sz w:val="28"/>
          <w:szCs w:val="28"/>
          <w:lang w:val="en-US" w:eastAsia="zh-CN"/>
        </w:rPr>
        <w:t>项目</w:t>
      </w:r>
      <w:r>
        <w:rPr>
          <w:rFonts w:hint="eastAsia"/>
          <w:b/>
          <w:bCs/>
          <w:sz w:val="28"/>
          <w:szCs w:val="28"/>
          <w:lang w:val="en-US" w:eastAsia="zh-CN"/>
        </w:rPr>
        <w:t>服务要求</w:t>
      </w:r>
    </w:p>
    <w:p w14:paraId="2D84D61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2" w:firstLineChars="200"/>
        <w:jc w:val="both"/>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一、服务要求</w:t>
      </w:r>
    </w:p>
    <w:p w14:paraId="28FD159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项目咨询团队的项目负责人应具有国家一级注册造价工程师执业资格证书，并在本单位注册。要求现场配备</w:t>
      </w:r>
      <w:r>
        <w:rPr>
          <w:rFonts w:hint="eastAsia" w:ascii="宋体" w:cs="宋体"/>
          <w:color w:val="auto"/>
          <w:kern w:val="0"/>
          <w:sz w:val="24"/>
          <w:szCs w:val="24"/>
          <w:lang w:val="en-US" w:eastAsia="zh-CN" w:bidi="ar-SA"/>
        </w:rPr>
        <w:t>二</w:t>
      </w:r>
      <w:r>
        <w:rPr>
          <w:rFonts w:hint="eastAsia" w:ascii="宋体" w:hAnsi="宋体" w:eastAsia="宋体" w:cs="宋体"/>
          <w:color w:val="auto"/>
          <w:kern w:val="0"/>
          <w:sz w:val="24"/>
          <w:szCs w:val="24"/>
          <w:lang w:val="en-US" w:eastAsia="zh-CN" w:bidi="ar-SA"/>
        </w:rPr>
        <w:t>人及以上人员，并在本单位注册。须具备与本工程相关专业中级及以上职称或与本工程相关专业注册造价师（</w:t>
      </w:r>
      <w:r>
        <w:rPr>
          <w:rFonts w:hint="eastAsia" w:ascii="宋体" w:eastAsia="宋体" w:cs="宋体"/>
          <w:color w:val="auto"/>
          <w:kern w:val="0"/>
          <w:sz w:val="24"/>
          <w:szCs w:val="24"/>
          <w:lang w:val="en-US" w:eastAsia="zh-CN" w:bidi="ar-SA"/>
        </w:rPr>
        <w:t>二</w:t>
      </w:r>
      <w:r>
        <w:rPr>
          <w:rFonts w:hint="eastAsia" w:ascii="宋体" w:hAnsi="宋体" w:eastAsia="宋体" w:cs="宋体"/>
          <w:color w:val="auto"/>
          <w:kern w:val="0"/>
          <w:sz w:val="24"/>
          <w:szCs w:val="24"/>
          <w:lang w:val="en-US" w:eastAsia="zh-CN" w:bidi="ar-SA"/>
        </w:rPr>
        <w:t>级造价员）以上资格（跟踪审计：严格按照</w:t>
      </w:r>
      <w:r>
        <w:rPr>
          <w:rFonts w:hint="eastAsia" w:ascii="宋体" w:cs="宋体"/>
          <w:color w:val="auto"/>
          <w:kern w:val="0"/>
          <w:sz w:val="24"/>
          <w:szCs w:val="24"/>
          <w:lang w:val="en-US" w:eastAsia="zh-CN" w:bidi="ar-SA"/>
        </w:rPr>
        <w:t>投标人</w:t>
      </w:r>
      <w:r>
        <w:rPr>
          <w:rFonts w:hint="eastAsia" w:ascii="宋体" w:hAnsi="宋体" w:eastAsia="宋体" w:cs="宋体"/>
          <w:color w:val="auto"/>
          <w:kern w:val="0"/>
          <w:sz w:val="24"/>
          <w:szCs w:val="24"/>
          <w:lang w:val="en-US" w:eastAsia="zh-CN" w:bidi="ar-SA"/>
        </w:rPr>
        <w:t>所报投标文件班子人员配备进行考核）。</w:t>
      </w:r>
    </w:p>
    <w:p w14:paraId="4284E28D">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（一）施工过程跟踪审计（含结算审核）</w:t>
      </w:r>
    </w:p>
    <w:p w14:paraId="7BD43A4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进行校核、审核、审定程序，确保结算准确合理符合市场规律。主要包括各分部分项工程价格组成、措施项目价格组成、措施项目造价指标、甲供材料/设备清单、工程总体造价指标、清单组价完整性及合理性、工程取费、编制说明等；对于造价指标明显偏离市场价的，要分析、纠偏。</w:t>
      </w:r>
    </w:p>
    <w:p w14:paraId="6DDB0C98">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2、投标人应严格控制工作时间，提高工作效率，在规定时间内完成委托任务，并将审核无误的造价咨询成果报送至招标人成本控制部复核。</w:t>
      </w:r>
    </w:p>
    <w:p w14:paraId="7FE29C7E">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3、提供真实可靠的市场信息，协助控制材料价格。</w:t>
      </w:r>
    </w:p>
    <w:p w14:paraId="06794A9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4、工程施工阶段现场造价咨询工作。</w:t>
      </w:r>
    </w:p>
    <w:p w14:paraId="4CB2C17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right="-168" w:rightChars="-80"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5、熟悉工程施工图纸等设计文件、招投标文件、合同及补充协议等有关造价资料，协助理顺设计变更、现场签证等工程造价相关资料。</w:t>
      </w:r>
    </w:p>
    <w:p w14:paraId="2F6167B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6、参加招标人组织的方案优化及图纸会审会议，结合编制清单过程中发现的设计问题，并根据工作经验提出有关造价方面的合理化建议。</w:t>
      </w:r>
    </w:p>
    <w:p w14:paraId="6F2EF327">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7、参加与工程造价相关的会议，并作好记录。</w:t>
      </w:r>
    </w:p>
    <w:p w14:paraId="25D2A43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8、参与补充协议的审核，主要审核工程造价相关条款。</w:t>
      </w:r>
    </w:p>
    <w:p w14:paraId="0997D602">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9、参与工程设计变更方案比选、造价控制及优化分析。</w:t>
      </w:r>
    </w:p>
    <w:p w14:paraId="3D622287">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10、参与设计变更及现场签证造价估算；会同招标人、监理单位、施工单位对工程变更签证发生的工作内容及工程量进行现场核实，并做好记录，留存影像资料。</w:t>
      </w:r>
    </w:p>
    <w:p w14:paraId="4BB7FCA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11、参与定价测算，对施工单位的施工及材料报价根据招标人要求进行市场调研分析，提供定价测算参考意见。</w:t>
      </w:r>
    </w:p>
    <w:p w14:paraId="2B67AD5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12、应随工程进度跟踪服务，掌握施工现场实际情况，特别是隐蔽工程。</w:t>
      </w:r>
    </w:p>
    <w:p w14:paraId="1DEC454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13、对跟踪审核过程中发现的重大问题，及时汇报、协助招标人处理造价问题。</w:t>
      </w:r>
    </w:p>
    <w:p w14:paraId="0A378C1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14、应随时、如实记录施工过程中的造价咨询服务情况，形成书面跟踪审核日志；协助理顺工程造价资料。</w:t>
      </w:r>
    </w:p>
    <w:p w14:paraId="7AE4CBE1">
      <w:pPr>
        <w:pStyle w:val="5"/>
        <w:keepNext w:val="0"/>
        <w:keepLines w:val="0"/>
        <w:pageBreakBefore w:val="0"/>
        <w:widowControl/>
        <w:kinsoku w:val="0"/>
        <w:wordWrap/>
        <w:overflowPunct/>
        <w:topLinePunct w:val="0"/>
        <w:autoSpaceDE w:val="0"/>
        <w:autoSpaceDN w:val="0"/>
        <w:bidi w:val="0"/>
        <w:adjustRightInd w:val="0"/>
        <w:snapToGrid w:val="0"/>
        <w:spacing w:line="520" w:lineRule="exact"/>
        <w:ind w:right="-218" w:rightChars="-104"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负责工程进度款核对工作，按合同约定，在工程造价资料完整、有效的基础上，结合现场勘察工作情况，扣除相应的甲供材、罚款等需扣减的费用，并和招标人项目部及施工单位做好沟通，按招标人成本控制部规定的统一表格出具工程进度款核算表及审核报告，最终由招标人成本控制部进行复核。</w:t>
      </w:r>
    </w:p>
    <w:p w14:paraId="398F6AC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提供工程索赔咨询，如：协助招标人处理工程索赔，审核已经认定索赔事实的造价费用；协助招标人对施工方违约的服务期限、质量等收集证据，进行反索赔；提供应招标人要求承包商采取非常规施工措施而增加费用的评估咨询等。</w:t>
      </w:r>
    </w:p>
    <w:p w14:paraId="3D9312B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17、协助招标人对工程造价方面的纠纷提供造价咨询服务。</w:t>
      </w:r>
    </w:p>
    <w:p w14:paraId="6459C829">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（二）工程结算阶段的工作</w:t>
      </w:r>
    </w:p>
    <w:p w14:paraId="0A717CCA">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工程结算坚持依法结算、客观公正、原件结算的原则，以国家法规、地方政策及招投标文件、合同及协议、设计变更、现场签证等有效资料为结算依据。投标人应掌握结算资料、施工现场等情况，配合招标人的结算工作。</w:t>
      </w:r>
    </w:p>
    <w:p w14:paraId="02A2027B">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在合同约定的时间内，配合招标人完成工程结算工作，提供掌握的工程计量及计价资料、真实合法的工程签证记录，工程数量及单价，费用标准，主要材料消耗量，甲供材超供问题、变更洽商及经济签证、结算问题、问题解决结果及商定过程等内容。</w:t>
      </w:r>
    </w:p>
    <w:p w14:paraId="297D6FB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（三）其他造价咨询服务工作</w:t>
      </w:r>
    </w:p>
    <w:p w14:paraId="786F81E0">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1、成本测算、分析。投标人根据招标人委托书的要求完成各项目相应的指标测算、分析，并在规定的时间内提交测算表格。</w:t>
      </w:r>
    </w:p>
    <w:p w14:paraId="6EE4D6FD">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2、协助编制项目需求资金计划；</w:t>
      </w:r>
    </w:p>
    <w:p w14:paraId="3826927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3、招标人委托的其他相关造价咨询服务。</w:t>
      </w:r>
    </w:p>
    <w:p w14:paraId="6E4E3226">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上述造价咨询服务内容</w:t>
      </w:r>
      <w:r>
        <w:rPr>
          <w:rFonts w:hint="eastAsia" w:ascii="宋体" w:cs="宋体"/>
          <w:color w:val="auto"/>
          <w:kern w:val="0"/>
          <w:sz w:val="24"/>
          <w:szCs w:val="24"/>
          <w:lang w:val="en-US" w:eastAsia="zh-CN" w:bidi="ar-SA"/>
        </w:rPr>
        <w:t>招标人</w:t>
      </w:r>
      <w:r>
        <w:rPr>
          <w:rFonts w:hint="eastAsia" w:ascii="宋体" w:hAnsi="宋体" w:eastAsia="宋体" w:cs="宋体"/>
          <w:color w:val="auto"/>
          <w:kern w:val="0"/>
          <w:sz w:val="24"/>
          <w:szCs w:val="24"/>
          <w:lang w:val="en-US" w:eastAsia="zh-CN" w:bidi="ar-SA"/>
        </w:rPr>
        <w:t>有权根据需要予以调整、补充。</w:t>
      </w:r>
    </w:p>
    <w:p w14:paraId="0BC219D9">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2"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eastAsia="宋体" w:cs="宋体"/>
          <w:b/>
          <w:bCs/>
          <w:sz w:val="24"/>
          <w:szCs w:val="24"/>
          <w:lang w:val="en-US" w:eastAsia="zh-CN"/>
        </w:rPr>
        <w:t>二</w:t>
      </w:r>
      <w:r>
        <w:rPr>
          <w:rFonts w:hint="eastAsia" w:ascii="宋体" w:hAnsi="宋体" w:eastAsia="宋体" w:cs="宋体"/>
          <w:b/>
          <w:bCs/>
          <w:sz w:val="24"/>
          <w:szCs w:val="24"/>
          <w:lang w:val="en-US" w:eastAsia="zh-CN"/>
        </w:rPr>
        <w:t>、竣工结算审计成果文件要求及质量标准</w:t>
      </w:r>
    </w:p>
    <w:p w14:paraId="5D6FCD7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1.竣工结算审计成果文件必须符合国家有关法律、法规和技术标准的要求。</w:t>
      </w:r>
    </w:p>
    <w:p w14:paraId="3C044E53">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2.竣工结算审计成果文件编制完成后进行内部校核、审核、审定程序，并由该工程项目负责人签署、盖章并加盖公司公章。提交的成果文件一律使用中文，计量单位均采用国际标准计量单位。</w:t>
      </w:r>
    </w:p>
    <w:p w14:paraId="2ADC4024">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3.投标人提交成果文件时必须提交精装书面版，并同时提交电子版文件，所有成果文件的书面文件应一式六份，以A4纸规格装订成册。</w:t>
      </w:r>
    </w:p>
    <w:p w14:paraId="024D7AA8">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4.文字应清晰、规范、肯定、含义明确。</w:t>
      </w:r>
    </w:p>
    <w:p w14:paraId="0A76B61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2" w:firstLineChars="200"/>
        <w:jc w:val="both"/>
        <w:textAlignment w:val="baseline"/>
        <w:rPr>
          <w:rFonts w:hint="eastAsia" w:ascii="宋体" w:hAnsi="宋体" w:eastAsia="宋体" w:cs="宋体"/>
          <w:b/>
          <w:bCs/>
          <w:sz w:val="24"/>
          <w:szCs w:val="24"/>
          <w:lang w:val="en-US" w:eastAsia="zh-CN"/>
        </w:rPr>
      </w:pPr>
      <w:r>
        <w:rPr>
          <w:rFonts w:hint="eastAsia" w:ascii="宋体" w:eastAsia="宋体" w:cs="宋体"/>
          <w:b/>
          <w:bCs/>
          <w:sz w:val="24"/>
          <w:szCs w:val="24"/>
          <w:lang w:val="en-US" w:eastAsia="zh-CN"/>
        </w:rPr>
        <w:t>三</w:t>
      </w:r>
      <w:r>
        <w:rPr>
          <w:rFonts w:hint="eastAsia" w:ascii="宋体" w:hAnsi="宋体" w:eastAsia="宋体" w:cs="宋体"/>
          <w:b/>
          <w:bCs/>
          <w:sz w:val="24"/>
          <w:szCs w:val="24"/>
          <w:lang w:val="en-US" w:eastAsia="zh-CN"/>
        </w:rPr>
        <w:t>、其他要求：</w:t>
      </w:r>
    </w:p>
    <w:p w14:paraId="6AB0E439">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投标人应根据招标人的要求制订切实可行的审计业务实施方案，主要包括但不限于以下内容：</w:t>
      </w:r>
    </w:p>
    <w:p w14:paraId="3A1B922F">
      <w:pPr>
        <w:pStyle w:val="5"/>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人应根据本项目的实际需要，成立项目小组，设项目负责人、负责人代表各一名。投标人不经过招标人同意，不得更换项目负责人和负责人代表。项目负责人主要沟通和协调项目组、招标人等相关方的关系，参加重要协调会议，解决重大疑难问题，对项目组实施监督和管理。负责人代表具体负责本项目日常审查业务管理工作，定期向招标人汇报工作。项目组人员所配备的专业人员必须能胜任本项目涉及的各个专业的结算审计服务工作。投标人要明确各环节项目小组人员的配置和服务时间安排，所有项目小组人员应具备良好的职业道德、敬业精神和团队意识，按照合同约定积极、认真、负责的完成结算审计工作任务。</w:t>
      </w:r>
    </w:p>
    <w:p w14:paraId="4E46288B">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应根据本项目服务指标及其内容，结合自身的业务能力，制定结算审计各阶段和主要环节所采取的控制方法、措施和审查程序；明确审查管理过程中的组织协调与服务承诺；制定完整的质量控制制度、进度控制制度，制定档案保管和移交办法等。</w:t>
      </w:r>
    </w:p>
    <w:p w14:paraId="4922BCEC">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投标人若中标，在审计过程中，要做好保密工作，对招标人认为需要保密的信息资料以及出具的各种审核成果文件进行严格保密。</w:t>
      </w:r>
    </w:p>
    <w:p w14:paraId="6CAC45A1">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协助招标人做好竣工决算的资料。</w:t>
      </w:r>
    </w:p>
    <w:p w14:paraId="29DF6D12">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pPr>
    </w:p>
    <w:sectPr>
      <w:pgSz w:w="11906" w:h="16838"/>
      <w:pgMar w:top="147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AF225"/>
    <w:multiLevelType w:val="singleLevel"/>
    <w:tmpl w:val="B10AF2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ZTUxZTZlMzk1YWI5MjZhMTBjZTdiZjQ1YTVhMmUifQ=="/>
  </w:docVars>
  <w:rsids>
    <w:rsidRoot w:val="3B635E85"/>
    <w:rsid w:val="3B635E85"/>
    <w:rsid w:val="6BCE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5">
    <w:name w:val="z正文"/>
    <w:basedOn w:val="2"/>
    <w:qFormat/>
    <w:uiPriority w:val="0"/>
    <w:pPr>
      <w:tabs>
        <w:tab w:val="left" w:pos="525"/>
      </w:tabs>
      <w:snapToGrid w:val="0"/>
      <w:spacing w:line="360" w:lineRule="auto"/>
    </w:pPr>
    <w:rPr>
      <w:rFonts w:ascii="Times New Roman"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2192</Words>
  <Characters>2205</Characters>
  <Lines>0</Lines>
  <Paragraphs>0</Paragraphs>
  <TotalTime>2</TotalTime>
  <ScaleCrop>false</ScaleCrop>
  <LinksUpToDate>false</LinksUpToDate>
  <CharactersWithSpaces>2205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2024-09-10T01:34:00Z</dcterms:created>
  <dc:creator>WPS_1470479395</dc:creator>
  <cp:lastModifiedBy>一支穿云箭</cp:lastModifiedBy>
  <dcterms:modified xsi:type="dcterms:W3CDTF">2024-09-10T08:23:42Z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66663BB33393452E9C3BF0938AB088A2_13</vt:lpwstr>
  </property>
</Properties>
</file>