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85E92">
      <w:pPr>
        <w:spacing w:line="240" w:lineRule="atLeast"/>
        <w:ind w:firstLine="643" w:firstLineChars="200"/>
        <w:jc w:val="center"/>
        <w:rPr>
          <w:rFonts w:hint="default" w:ascii="仿宋_GB2312" w:eastAsia="仿宋_GB2312"/>
          <w:b/>
          <w:color w:val="000000"/>
          <w:sz w:val="32"/>
          <w:lang w:val="en-US" w:eastAsia="zh-CN"/>
        </w:rPr>
      </w:pPr>
      <w:r>
        <w:rPr>
          <w:rFonts w:hint="eastAsia" w:ascii="仿宋_GB2312" w:eastAsia="仿宋_GB2312"/>
          <w:b/>
          <w:color w:val="000000"/>
          <w:sz w:val="32"/>
          <w:lang w:val="en-US" w:eastAsia="zh-CN"/>
        </w:rPr>
        <w:t>山东省微山湖矿业集团用友BIP数据库及服务器操作系统</w:t>
      </w:r>
    </w:p>
    <w:p w14:paraId="6EA43E50">
      <w:pPr>
        <w:spacing w:line="240" w:lineRule="atLeast"/>
        <w:ind w:firstLine="643" w:firstLineChars="200"/>
        <w:jc w:val="center"/>
        <w:rPr>
          <w:rFonts w:ascii="仿宋_GB2312" w:eastAsia="仿宋_GB2312"/>
          <w:color w:val="000000"/>
          <w:sz w:val="28"/>
        </w:rPr>
      </w:pPr>
      <w:r>
        <w:rPr>
          <w:rFonts w:hint="eastAsia" w:ascii="仿宋_GB2312" w:eastAsia="仿宋_GB2312"/>
          <w:b/>
          <w:color w:val="000000"/>
          <w:sz w:val="32"/>
          <w:lang w:val="en-US" w:eastAsia="zh-CN"/>
        </w:rPr>
        <w:t>软件国产化</w:t>
      </w:r>
      <w:r>
        <w:rPr>
          <w:rFonts w:hint="eastAsia" w:ascii="仿宋_GB2312" w:eastAsia="仿宋_GB2312"/>
          <w:b/>
          <w:color w:val="000000"/>
          <w:sz w:val="32"/>
        </w:rPr>
        <w:t>项目技术服务规范书</w:t>
      </w:r>
    </w:p>
    <w:p w14:paraId="1DF80833">
      <w:pPr>
        <w:spacing w:line="240" w:lineRule="atLeast"/>
        <w:ind w:firstLine="560" w:firstLineChars="200"/>
        <w:rPr>
          <w:rFonts w:ascii="仿宋_GB2312" w:eastAsia="仿宋_GB2312"/>
          <w:color w:val="000000"/>
          <w:sz w:val="28"/>
        </w:rPr>
      </w:pPr>
    </w:p>
    <w:p w14:paraId="22E5DC28">
      <w:pPr>
        <w:pStyle w:val="2"/>
        <w:numPr>
          <w:ilvl w:val="0"/>
          <w:numId w:val="2"/>
        </w:numPr>
        <w:spacing w:before="0" w:after="0" w:line="240" w:lineRule="auto"/>
        <w:ind w:leftChars="0"/>
        <w:rPr>
          <w:rFonts w:hint="eastAsia" w:ascii="仿宋" w:hAnsi="仿宋" w:eastAsia="仿宋"/>
          <w:color w:val="000000"/>
          <w:sz w:val="24"/>
          <w:szCs w:val="24"/>
        </w:rPr>
      </w:pPr>
      <w:bookmarkStart w:id="0" w:name="_Toc74189753"/>
      <w:bookmarkStart w:id="1" w:name="_Toc18191"/>
      <w:bookmarkStart w:id="2" w:name="_Toc306194733"/>
      <w:bookmarkStart w:id="3" w:name="_Toc329082185"/>
      <w:bookmarkStart w:id="4" w:name="_Toc76654270"/>
      <w:bookmarkStart w:id="5" w:name="part2"/>
      <w:r>
        <w:rPr>
          <w:rFonts w:hint="eastAsia" w:ascii="仿宋" w:hAnsi="仿宋" w:eastAsia="仿宋"/>
          <w:color w:val="000000"/>
          <w:sz w:val="24"/>
          <w:szCs w:val="24"/>
        </w:rPr>
        <w:t>系统建设需求</w:t>
      </w:r>
      <w:bookmarkEnd w:id="0"/>
      <w:bookmarkEnd w:id="1"/>
      <w:bookmarkEnd w:id="2"/>
      <w:bookmarkEnd w:id="3"/>
      <w:bookmarkEnd w:id="4"/>
      <w:bookmarkStart w:id="6" w:name="_Toc186490219"/>
      <w:bookmarkEnd w:id="6"/>
      <w:bookmarkStart w:id="7" w:name="_Toc186489992"/>
      <w:bookmarkEnd w:id="7"/>
      <w:bookmarkStart w:id="8" w:name="_Toc186490446"/>
      <w:bookmarkEnd w:id="8"/>
      <w:bookmarkStart w:id="9" w:name="_Toc476284172"/>
      <w:bookmarkStart w:id="10" w:name="_Toc477095300"/>
      <w:bookmarkStart w:id="11" w:name="_Toc76654278"/>
      <w:bookmarkStart w:id="12" w:name="_Toc522412121"/>
      <w:bookmarkStart w:id="13" w:name="_Toc495588910"/>
      <w:bookmarkStart w:id="14" w:name="_Toc509046689"/>
      <w:bookmarkStart w:id="15" w:name="_Toc483507752"/>
      <w:bookmarkStart w:id="16" w:name="_Toc74189761"/>
      <w:bookmarkStart w:id="17" w:name="_Toc48047548"/>
      <w:bookmarkStart w:id="18" w:name="_Toc45423244"/>
      <w:bookmarkStart w:id="19" w:name="_Toc476818221"/>
      <w:bookmarkStart w:id="20" w:name="_Toc32517"/>
      <w:bookmarkStart w:id="21" w:name="_Toc457206128"/>
      <w:bookmarkStart w:id="22" w:name="_Toc449452911"/>
    </w:p>
    <w:p w14:paraId="4CE8D9DE">
      <w:pPr>
        <w:numPr>
          <w:ilvl w:val="0"/>
          <w:numId w:val="0"/>
        </w:numPr>
        <w:rPr>
          <w:rFonts w:hint="default" w:ascii="仿宋" w:hAnsi="仿宋" w:eastAsia="仿宋" w:cs="仿宋"/>
          <w:lang w:val="en-US" w:eastAsia="zh-CN"/>
        </w:rPr>
      </w:pPr>
      <w:r>
        <w:rPr>
          <w:rFonts w:hint="eastAsia"/>
          <w:lang w:val="en-US" w:eastAsia="zh-CN"/>
        </w:rPr>
        <w:t xml:space="preserve">   </w:t>
      </w:r>
      <w:r>
        <w:rPr>
          <w:rFonts w:hint="eastAsia" w:ascii="仿宋" w:hAnsi="仿宋" w:eastAsia="仿宋" w:cs="仿宋"/>
          <w:sz w:val="24"/>
          <w:szCs w:val="24"/>
          <w:lang w:val="en-US" w:eastAsia="zh-CN"/>
        </w:rPr>
        <w:t>微矿集团原使用数据库为</w:t>
      </w:r>
      <w:r>
        <w:rPr>
          <w:rFonts w:hint="eastAsia" w:ascii="仿宋" w:hAnsi="仿宋" w:eastAsia="仿宋" w:cs="仿宋"/>
          <w:i w:val="0"/>
          <w:iCs w:val="0"/>
          <w:caps w:val="0"/>
          <w:spacing w:val="0"/>
          <w:sz w:val="24"/>
          <w:szCs w:val="24"/>
          <w:shd w:val="clear" w:fill="FFFFFF"/>
        </w:rPr>
        <w:t>Oracle</w:t>
      </w:r>
      <w:r>
        <w:rPr>
          <w:rFonts w:hint="eastAsia" w:ascii="仿宋" w:hAnsi="仿宋" w:eastAsia="仿宋" w:cs="仿宋"/>
          <w:sz w:val="24"/>
          <w:szCs w:val="24"/>
          <w:lang w:val="en-US" w:eastAsia="zh-CN"/>
        </w:rPr>
        <w:t>数据库，是</w:t>
      </w:r>
      <w:r>
        <w:rPr>
          <w:rFonts w:hint="eastAsia" w:ascii="仿宋" w:hAnsi="仿宋" w:eastAsia="仿宋" w:cs="仿宋"/>
          <w:i w:val="0"/>
          <w:iCs w:val="0"/>
          <w:caps w:val="0"/>
          <w:spacing w:val="0"/>
          <w:sz w:val="24"/>
          <w:szCs w:val="24"/>
          <w:shd w:val="clear" w:fill="FFFFFF"/>
          <w:lang w:val="en-US" w:eastAsia="zh-CN"/>
        </w:rPr>
        <w:t>美国</w:t>
      </w:r>
      <w:r>
        <w:rPr>
          <w:rFonts w:hint="eastAsia" w:ascii="仿宋" w:hAnsi="仿宋" w:eastAsia="仿宋" w:cs="仿宋"/>
          <w:i w:val="0"/>
          <w:iCs w:val="0"/>
          <w:caps w:val="0"/>
          <w:spacing w:val="0"/>
          <w:sz w:val="24"/>
          <w:szCs w:val="24"/>
          <w:shd w:val="clear" w:fill="FFFFFF"/>
        </w:rPr>
        <w:t>甲骨文公司（Oracle Corporation）开发的一款关系数据库管理系统软件</w:t>
      </w:r>
      <w:r>
        <w:rPr>
          <w:rFonts w:hint="eastAsia" w:ascii="仿宋" w:hAnsi="仿宋" w:eastAsia="仿宋" w:cs="仿宋"/>
          <w:i w:val="0"/>
          <w:iCs w:val="0"/>
          <w:caps w:val="0"/>
          <w:spacing w:val="0"/>
          <w:sz w:val="24"/>
          <w:szCs w:val="24"/>
          <w:shd w:val="clear" w:fill="FFFFFF"/>
          <w:lang w:eastAsia="zh-CN"/>
        </w:rPr>
        <w:t>，</w:t>
      </w:r>
      <w:r>
        <w:rPr>
          <w:rFonts w:hint="eastAsia" w:ascii="仿宋" w:hAnsi="仿宋" w:eastAsia="仿宋" w:cs="仿宋"/>
          <w:i w:val="0"/>
          <w:iCs w:val="0"/>
          <w:caps w:val="0"/>
          <w:spacing w:val="0"/>
          <w:sz w:val="24"/>
          <w:szCs w:val="24"/>
          <w:shd w:val="clear" w:fill="FFFFFF"/>
          <w:lang w:val="en-US" w:eastAsia="zh-CN"/>
        </w:rPr>
        <w:t>使用服务器软件是微软server2016，为确保数据安全，积极响应上级管理部门软件国产化要求，上述软件替换为国产软件。</w:t>
      </w:r>
    </w:p>
    <w:p w14:paraId="62CEDEB0">
      <w:pPr>
        <w:pStyle w:val="2"/>
        <w:numPr>
          <w:ilvl w:val="0"/>
          <w:numId w:val="0"/>
        </w:numPr>
        <w:spacing w:before="0" w:after="0" w:line="240" w:lineRule="auto"/>
        <w:ind w:leftChars="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技术要求</w:t>
      </w:r>
      <w:bookmarkEnd w:id="9"/>
      <w:bookmarkEnd w:id="10"/>
      <w:bookmarkEnd w:id="11"/>
      <w:bookmarkEnd w:id="12"/>
      <w:bookmarkEnd w:id="13"/>
      <w:bookmarkEnd w:id="14"/>
      <w:bookmarkEnd w:id="15"/>
      <w:bookmarkEnd w:id="16"/>
      <w:bookmarkEnd w:id="17"/>
      <w:bookmarkEnd w:id="18"/>
      <w:bookmarkEnd w:id="19"/>
      <w:bookmarkEnd w:id="20"/>
    </w:p>
    <w:p w14:paraId="3541F9DA">
      <w:pPr>
        <w:pStyle w:val="3"/>
        <w:numPr>
          <w:ilvl w:val="0"/>
          <w:numId w:val="3"/>
        </w:numPr>
        <w:ind w:left="420" w:leftChars="0" w:hanging="420" w:firstLineChars="0"/>
        <w:jc w:val="left"/>
        <w:rPr>
          <w:rFonts w:ascii="仿宋" w:hAnsi="仿宋" w:eastAsia="仿宋"/>
          <w:b w:val="0"/>
          <w:bCs/>
          <w:color w:val="000000"/>
          <w:kern w:val="2"/>
          <w:sz w:val="24"/>
        </w:rPr>
      </w:pPr>
      <w:bookmarkStart w:id="23" w:name="_Toc602"/>
      <w:r>
        <w:rPr>
          <w:rFonts w:hint="eastAsia" w:ascii="仿宋" w:hAnsi="仿宋" w:eastAsia="仿宋"/>
          <w:bCs/>
          <w:color w:val="000000"/>
          <w:kern w:val="2"/>
          <w:sz w:val="24"/>
        </w:rPr>
        <w:t xml:space="preserve"> 总体要求</w:t>
      </w:r>
      <w:bookmarkEnd w:id="23"/>
    </w:p>
    <w:p w14:paraId="7C201560">
      <w:pPr>
        <w:autoSpaceDE w:val="0"/>
        <w:autoSpaceDN w:val="0"/>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（1）乙方应为甲方提供完整、最新且成熟的数据库产品。</w:t>
      </w:r>
    </w:p>
    <w:p w14:paraId="077FA406">
      <w:pPr>
        <w:autoSpaceDE w:val="0"/>
        <w:autoSpaceDN w:val="0"/>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（2）</w:t>
      </w:r>
      <w:r>
        <w:rPr>
          <w:rFonts w:ascii="仿宋" w:hAnsi="仿宋" w:eastAsia="仿宋" w:cs="仿宋"/>
          <w:color w:val="000000"/>
        </w:rPr>
        <w:t>系统各项技术应遵循国家相关标准和技术规范。如无国家标准，则应采用相应的国际标准。对于存在多种标准的技术，乙方应与甲方协商确定适用标准。</w:t>
      </w:r>
    </w:p>
    <w:p w14:paraId="2CDC22DB">
      <w:pPr>
        <w:autoSpaceDE w:val="0"/>
        <w:autoSpaceDN w:val="0"/>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（3）</w:t>
      </w:r>
      <w:r>
        <w:rPr>
          <w:rFonts w:ascii="仿宋" w:hAnsi="仿宋" w:eastAsia="仿宋" w:cs="仿宋"/>
          <w:color w:val="000000"/>
        </w:rPr>
        <w:t>乙方必须对工程技术文件及甲方提供的所有内部资料、技术文档和信息保密，并严格遵守与甲方签订的保密协议。未经甲方书面许可，乙方不得以任何形式向第三方透露本项目的任何内容。</w:t>
      </w:r>
    </w:p>
    <w:p w14:paraId="11029D9E">
      <w:pPr>
        <w:autoSpaceDE w:val="0"/>
        <w:autoSpaceDN w:val="0"/>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4）投标人应认真、谨慎地回答产品技术要求。在必要时，招标人将根据投标人的应答进行标后测试。如果测试结果显示存在问题，或明显无法满足招标人提出的技术规范，招标人将撤销该投标人的全部得分，并视为严重造假或欺瞒。由此给招标人造成的直接和间接损失，将由该投标人承担。</w:t>
      </w:r>
    </w:p>
    <w:p w14:paraId="6754DDEB">
      <w:pPr>
        <w:pStyle w:val="3"/>
        <w:ind w:firstLine="489"/>
        <w:rPr>
          <w:rFonts w:ascii="仿宋" w:hAnsi="仿宋" w:eastAsia="仿宋"/>
          <w:color w:val="000000"/>
          <w:sz w:val="24"/>
        </w:rPr>
      </w:pPr>
      <w:bookmarkStart w:id="24" w:name="_Toc15362"/>
      <w:r>
        <w:rPr>
          <w:rFonts w:hint="eastAsia" w:ascii="仿宋" w:hAnsi="仿宋" w:eastAsia="仿宋"/>
          <w:color w:val="000000"/>
          <w:sz w:val="24"/>
        </w:rPr>
        <w:t xml:space="preserve"> 产品技术要求</w:t>
      </w:r>
      <w:bookmarkEnd w:id="24"/>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7923"/>
      </w:tblGrid>
      <w:tr w14:paraId="2B61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025" w:type="dxa"/>
            <w:vAlign w:val="center"/>
          </w:tcPr>
          <w:p w14:paraId="3EAFEA76">
            <w:pPr>
              <w:spacing w:line="312" w:lineRule="auto"/>
              <w:jc w:val="center"/>
              <w:rPr>
                <w:rFonts w:ascii="仿宋" w:hAnsi="仿宋" w:eastAsia="仿宋"/>
                <w:b/>
                <w:bCs/>
                <w:color w:val="000000"/>
              </w:rPr>
            </w:pPr>
            <w:r>
              <w:rPr>
                <w:rFonts w:hint="eastAsia" w:ascii="仿宋" w:hAnsi="仿宋" w:eastAsia="仿宋"/>
                <w:b/>
                <w:bCs/>
                <w:color w:val="000000"/>
              </w:rPr>
              <w:t>序号</w:t>
            </w:r>
          </w:p>
        </w:tc>
        <w:tc>
          <w:tcPr>
            <w:tcW w:w="7923" w:type="dxa"/>
            <w:vAlign w:val="center"/>
          </w:tcPr>
          <w:p w14:paraId="7DC28B27">
            <w:pPr>
              <w:spacing w:line="312" w:lineRule="auto"/>
              <w:jc w:val="center"/>
              <w:rPr>
                <w:rFonts w:ascii="仿宋" w:hAnsi="仿宋" w:eastAsia="仿宋"/>
                <w:b/>
                <w:bCs/>
                <w:color w:val="000000"/>
              </w:rPr>
            </w:pPr>
            <w:r>
              <w:rPr>
                <w:rFonts w:hint="eastAsia" w:ascii="仿宋" w:hAnsi="仿宋" w:eastAsia="仿宋"/>
                <w:b/>
                <w:bCs/>
                <w:color w:val="000000"/>
              </w:rPr>
              <w:t>数据库技术条款</w:t>
            </w:r>
          </w:p>
        </w:tc>
      </w:tr>
      <w:tr w14:paraId="62DB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25" w:type="dxa"/>
            <w:vAlign w:val="center"/>
          </w:tcPr>
          <w:p w14:paraId="4FAC9155">
            <w:pPr>
              <w:spacing w:line="312" w:lineRule="auto"/>
              <w:jc w:val="center"/>
              <w:rPr>
                <w:rFonts w:ascii="仿宋" w:hAnsi="仿宋" w:eastAsia="仿宋"/>
                <w:color w:val="000000"/>
              </w:rPr>
            </w:pPr>
            <w:r>
              <w:rPr>
                <w:rFonts w:ascii="仿宋" w:hAnsi="仿宋" w:eastAsia="仿宋"/>
                <w:color w:val="000000"/>
              </w:rPr>
              <w:t>1</w:t>
            </w:r>
          </w:p>
        </w:tc>
        <w:tc>
          <w:tcPr>
            <w:tcW w:w="7923" w:type="dxa"/>
            <w:vAlign w:val="center"/>
          </w:tcPr>
          <w:p w14:paraId="2A503A5B">
            <w:pPr>
              <w:spacing w:line="312" w:lineRule="auto"/>
              <w:jc w:val="both"/>
              <w:rPr>
                <w:rFonts w:ascii="仿宋" w:hAnsi="仿宋" w:eastAsia="仿宋"/>
                <w:color w:val="000000"/>
              </w:rPr>
            </w:pPr>
            <w:r>
              <w:rPr>
                <w:rFonts w:hint="eastAsia" w:ascii="仿宋" w:hAnsi="仿宋" w:eastAsia="仿宋"/>
                <w:color w:val="000000"/>
              </w:rPr>
              <w:t>产品需为国产集中式关系型数据库，必须提供软件著作权证书。具有跨操作系统平台的能力，</w:t>
            </w:r>
            <w:r>
              <w:rPr>
                <w:rFonts w:ascii="仿宋" w:hAnsi="仿宋" w:eastAsia="仿宋"/>
                <w:color w:val="000000"/>
              </w:rPr>
              <w:t>Linux</w:t>
            </w:r>
            <w:r>
              <w:rPr>
                <w:rFonts w:hint="eastAsia" w:ascii="仿宋" w:hAnsi="仿宋" w:eastAsia="仿宋"/>
                <w:color w:val="000000"/>
              </w:rPr>
              <w:t>、麒麟、</w:t>
            </w:r>
            <w:r>
              <w:rPr>
                <w:rFonts w:ascii="仿宋" w:hAnsi="仿宋" w:eastAsia="仿宋"/>
                <w:color w:val="000000"/>
              </w:rPr>
              <w:t>UOS</w:t>
            </w:r>
            <w:r>
              <w:rPr>
                <w:rFonts w:hint="eastAsia" w:ascii="仿宋" w:hAnsi="仿宋" w:eastAsia="仿宋"/>
                <w:color w:val="000000"/>
              </w:rPr>
              <w:t>等操作系统等，支持</w:t>
            </w:r>
            <w:r>
              <w:rPr>
                <w:rFonts w:ascii="仿宋" w:hAnsi="仿宋" w:eastAsia="仿宋"/>
                <w:color w:val="000000"/>
              </w:rPr>
              <w:t>INTEL</w:t>
            </w:r>
            <w:r>
              <w:rPr>
                <w:rFonts w:hint="eastAsia" w:ascii="仿宋" w:hAnsi="仿宋" w:eastAsia="仿宋"/>
                <w:color w:val="000000"/>
              </w:rPr>
              <w:t>、鲲鹏、飞腾等处理器；</w:t>
            </w:r>
          </w:p>
        </w:tc>
      </w:tr>
      <w:tr w14:paraId="4D91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5" w:type="dxa"/>
            <w:vAlign w:val="center"/>
          </w:tcPr>
          <w:p w14:paraId="16BEDC03">
            <w:pPr>
              <w:spacing w:line="312" w:lineRule="auto"/>
              <w:jc w:val="center"/>
              <w:rPr>
                <w:rFonts w:ascii="仿宋" w:hAnsi="仿宋" w:eastAsia="仿宋"/>
                <w:color w:val="000000"/>
              </w:rPr>
            </w:pPr>
            <w:r>
              <w:rPr>
                <w:rFonts w:ascii="仿宋" w:hAnsi="仿宋" w:eastAsia="仿宋"/>
                <w:color w:val="000000"/>
              </w:rPr>
              <w:t>2</w:t>
            </w:r>
          </w:p>
        </w:tc>
        <w:tc>
          <w:tcPr>
            <w:tcW w:w="7923" w:type="dxa"/>
            <w:vAlign w:val="center"/>
          </w:tcPr>
          <w:p w14:paraId="330B24D9">
            <w:pPr>
              <w:spacing w:line="312" w:lineRule="auto"/>
              <w:jc w:val="both"/>
              <w:rPr>
                <w:rFonts w:ascii="仿宋" w:hAnsi="仿宋" w:eastAsia="仿宋"/>
                <w:color w:val="000000"/>
              </w:rPr>
            </w:pPr>
            <w:r>
              <w:rPr>
                <w:rFonts w:hint="eastAsia" w:ascii="仿宋" w:hAnsi="仿宋" w:eastAsia="仿宋"/>
                <w:color w:val="000000"/>
              </w:rPr>
              <w:t>数据库产品通过中国信息安全测评中心或国家保密科技测评中心的安全可靠评测。</w:t>
            </w:r>
          </w:p>
        </w:tc>
      </w:tr>
      <w:tr w14:paraId="44C4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25" w:type="dxa"/>
            <w:vAlign w:val="center"/>
          </w:tcPr>
          <w:p w14:paraId="60871B0B">
            <w:pPr>
              <w:spacing w:line="312" w:lineRule="auto"/>
              <w:jc w:val="center"/>
              <w:rPr>
                <w:rFonts w:ascii="仿宋" w:hAnsi="仿宋" w:eastAsia="仿宋"/>
                <w:color w:val="000000"/>
              </w:rPr>
            </w:pPr>
            <w:r>
              <w:rPr>
                <w:rFonts w:ascii="仿宋" w:hAnsi="仿宋" w:eastAsia="仿宋"/>
                <w:color w:val="000000"/>
              </w:rPr>
              <w:t>3</w:t>
            </w:r>
          </w:p>
        </w:tc>
        <w:tc>
          <w:tcPr>
            <w:tcW w:w="7923" w:type="dxa"/>
            <w:vAlign w:val="center"/>
          </w:tcPr>
          <w:p w14:paraId="3A2551E8">
            <w:pPr>
              <w:spacing w:line="312" w:lineRule="auto"/>
              <w:jc w:val="both"/>
              <w:rPr>
                <w:rFonts w:ascii="仿宋" w:hAnsi="仿宋" w:eastAsia="仿宋"/>
                <w:color w:val="000000"/>
              </w:rPr>
            </w:pPr>
            <w:r>
              <w:rPr>
                <w:rFonts w:hint="eastAsia" w:ascii="仿宋" w:hAnsi="仿宋" w:eastAsia="仿宋"/>
                <w:color w:val="000000"/>
              </w:rPr>
              <w:t>所提供产品符合财政部、工业和信息化部</w:t>
            </w:r>
            <w:r>
              <w:rPr>
                <w:rFonts w:ascii="仿宋" w:hAnsi="仿宋" w:eastAsia="仿宋"/>
                <w:color w:val="000000"/>
              </w:rPr>
              <w:t xml:space="preserve"> </w:t>
            </w:r>
            <w:r>
              <w:rPr>
                <w:rFonts w:hint="eastAsia" w:ascii="仿宋" w:hAnsi="仿宋" w:eastAsia="仿宋"/>
                <w:color w:val="000000"/>
              </w:rPr>
              <w:t>《数据库政府采购需求标准（</w:t>
            </w:r>
            <w:r>
              <w:rPr>
                <w:rFonts w:ascii="仿宋" w:hAnsi="仿宋" w:eastAsia="仿宋"/>
                <w:color w:val="000000"/>
              </w:rPr>
              <w:t>2023</w:t>
            </w:r>
            <w:r>
              <w:rPr>
                <w:rFonts w:hint="eastAsia" w:ascii="仿宋" w:hAnsi="仿宋" w:eastAsia="仿宋"/>
                <w:color w:val="000000"/>
              </w:rPr>
              <w:t>年版）》标准，提供满足集中式数据库政府采购需求标准中功能要求的承诺函。</w:t>
            </w:r>
          </w:p>
        </w:tc>
      </w:tr>
      <w:tr w14:paraId="41A3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25" w:type="dxa"/>
            <w:vAlign w:val="center"/>
          </w:tcPr>
          <w:p w14:paraId="3CFD843E">
            <w:pPr>
              <w:spacing w:line="312" w:lineRule="auto"/>
              <w:jc w:val="center"/>
              <w:rPr>
                <w:rFonts w:ascii="仿宋" w:hAnsi="仿宋" w:eastAsia="仿宋"/>
                <w:color w:val="000000"/>
              </w:rPr>
            </w:pPr>
            <w:r>
              <w:rPr>
                <w:rFonts w:ascii="仿宋" w:hAnsi="仿宋" w:eastAsia="仿宋"/>
                <w:color w:val="000000"/>
              </w:rPr>
              <w:t>4</w:t>
            </w:r>
          </w:p>
        </w:tc>
        <w:tc>
          <w:tcPr>
            <w:tcW w:w="7923" w:type="dxa"/>
            <w:vAlign w:val="center"/>
          </w:tcPr>
          <w:p w14:paraId="64C701F5">
            <w:pPr>
              <w:spacing w:line="312" w:lineRule="auto"/>
              <w:jc w:val="both"/>
              <w:rPr>
                <w:rFonts w:ascii="仿宋" w:hAnsi="仿宋" w:eastAsia="仿宋"/>
                <w:color w:val="000000"/>
              </w:rPr>
            </w:pPr>
            <w:r>
              <w:rPr>
                <w:rFonts w:ascii="仿宋" w:hAnsi="仿宋" w:eastAsia="仿宋"/>
                <w:color w:val="000000"/>
              </w:rPr>
              <w:t>★</w:t>
            </w:r>
            <w:r>
              <w:rPr>
                <w:rFonts w:hint="eastAsia" w:ascii="仿宋" w:hAnsi="仿宋" w:eastAsia="仿宋"/>
                <w:color w:val="000000"/>
              </w:rPr>
              <w:t>所提供产品需提供与用友</w:t>
            </w:r>
            <w:r>
              <w:rPr>
                <w:rFonts w:ascii="仿宋" w:hAnsi="仿宋" w:eastAsia="仿宋"/>
                <w:color w:val="000000"/>
              </w:rPr>
              <w:t>YOnBIP</w:t>
            </w:r>
            <w:r>
              <w:rPr>
                <w:rFonts w:hint="eastAsia" w:ascii="仿宋" w:hAnsi="仿宋" w:eastAsia="仿宋"/>
                <w:color w:val="000000"/>
              </w:rPr>
              <w:t>产品兼容性证书及</w:t>
            </w:r>
            <w:r>
              <w:rPr>
                <w:rFonts w:ascii="仿宋" w:hAnsi="仿宋" w:eastAsia="仿宋"/>
                <w:color w:val="000000"/>
              </w:rPr>
              <w:t>YOnBIP</w:t>
            </w:r>
            <w:r>
              <w:rPr>
                <w:rFonts w:hint="eastAsia" w:ascii="仿宋" w:hAnsi="仿宋" w:eastAsia="仿宋"/>
                <w:color w:val="000000"/>
              </w:rPr>
              <w:t>高级版兼容性测试报告。</w:t>
            </w:r>
          </w:p>
        </w:tc>
      </w:tr>
      <w:tr w14:paraId="0104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25" w:type="dxa"/>
            <w:vAlign w:val="center"/>
          </w:tcPr>
          <w:p w14:paraId="3144666A">
            <w:pPr>
              <w:spacing w:line="312" w:lineRule="auto"/>
              <w:jc w:val="center"/>
              <w:rPr>
                <w:rFonts w:ascii="仿宋" w:hAnsi="仿宋" w:eastAsia="仿宋"/>
                <w:color w:val="000000"/>
              </w:rPr>
            </w:pPr>
            <w:r>
              <w:rPr>
                <w:rFonts w:ascii="仿宋" w:hAnsi="仿宋" w:eastAsia="仿宋"/>
                <w:color w:val="000000"/>
              </w:rPr>
              <w:t>5</w:t>
            </w:r>
          </w:p>
        </w:tc>
        <w:tc>
          <w:tcPr>
            <w:tcW w:w="7923" w:type="dxa"/>
            <w:vAlign w:val="center"/>
          </w:tcPr>
          <w:p w14:paraId="2819CE18">
            <w:pPr>
              <w:spacing w:line="312" w:lineRule="auto"/>
              <w:jc w:val="both"/>
              <w:rPr>
                <w:rFonts w:ascii="仿宋" w:hAnsi="仿宋" w:eastAsia="仿宋"/>
                <w:color w:val="000000"/>
              </w:rPr>
            </w:pPr>
            <w:r>
              <w:rPr>
                <w:rFonts w:ascii="仿宋" w:hAnsi="仿宋" w:eastAsia="仿宋"/>
                <w:color w:val="000000"/>
              </w:rPr>
              <w:t>★</w:t>
            </w:r>
            <w:r>
              <w:rPr>
                <w:rFonts w:hint="eastAsia" w:ascii="仿宋" w:hAnsi="仿宋" w:eastAsia="仿宋"/>
                <w:color w:val="000000"/>
              </w:rPr>
              <w:t>针对国产处理器平台有专门的优化技术，要求在</w:t>
            </w:r>
            <w:r>
              <w:rPr>
                <w:rFonts w:ascii="仿宋" w:hAnsi="仿宋" w:eastAsia="仿宋"/>
                <w:color w:val="000000"/>
              </w:rPr>
              <w:t>2</w:t>
            </w:r>
            <w:r>
              <w:rPr>
                <w:rFonts w:hint="eastAsia" w:ascii="仿宋" w:hAnsi="仿宋" w:eastAsia="仿宋"/>
                <w:color w:val="000000"/>
              </w:rPr>
              <w:t>路国产处理器平台上</w:t>
            </w:r>
            <w:r>
              <w:rPr>
                <w:rFonts w:ascii="仿宋" w:hAnsi="仿宋" w:eastAsia="仿宋"/>
                <w:color w:val="000000"/>
              </w:rPr>
              <w:t>TPCC</w:t>
            </w:r>
            <w:r>
              <w:rPr>
                <w:rFonts w:hint="eastAsia" w:ascii="仿宋" w:hAnsi="仿宋" w:eastAsia="仿宋"/>
                <w:color w:val="000000"/>
              </w:rPr>
              <w:t>测试中</w:t>
            </w:r>
            <w:r>
              <w:rPr>
                <w:rFonts w:ascii="仿宋" w:hAnsi="仿宋" w:eastAsia="仿宋"/>
                <w:color w:val="000000"/>
              </w:rPr>
              <w:t>100</w:t>
            </w:r>
            <w:r>
              <w:rPr>
                <w:rFonts w:hint="eastAsia" w:ascii="仿宋" w:hAnsi="仿宋" w:eastAsia="仿宋"/>
                <w:color w:val="000000"/>
              </w:rPr>
              <w:t>仓数据量性能能达到</w:t>
            </w:r>
            <w:r>
              <w:rPr>
                <w:rFonts w:ascii="仿宋" w:hAnsi="仿宋" w:eastAsia="仿宋"/>
                <w:color w:val="000000"/>
              </w:rPr>
              <w:t>150</w:t>
            </w:r>
            <w:r>
              <w:rPr>
                <w:rFonts w:hint="eastAsia" w:ascii="仿宋" w:hAnsi="仿宋" w:eastAsia="仿宋"/>
                <w:color w:val="000000"/>
              </w:rPr>
              <w:t>万</w:t>
            </w:r>
            <w:r>
              <w:rPr>
                <w:rFonts w:ascii="仿宋" w:hAnsi="仿宋" w:eastAsia="仿宋"/>
                <w:color w:val="000000"/>
              </w:rPr>
              <w:t>tpmC</w:t>
            </w:r>
            <w:r>
              <w:rPr>
                <w:rFonts w:hint="eastAsia" w:ascii="仿宋" w:hAnsi="仿宋" w:eastAsia="仿宋"/>
                <w:color w:val="000000"/>
              </w:rPr>
              <w:t>以上，投标阶段需提供承诺函；中标后须提供工信部下属测评机构：中国软件评测中心、国家工业信息安全发展研究中心、工业和信息化部电子第五研究所、中国电子技术标准化研究院、中国信息通信研究院其中之一按信创测试大纲测试后出具的《产品质量测试报告》或《产品确认测试报告》，并加盖原厂公章。</w:t>
            </w:r>
          </w:p>
        </w:tc>
      </w:tr>
      <w:tr w14:paraId="58D6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025" w:type="dxa"/>
            <w:vAlign w:val="center"/>
          </w:tcPr>
          <w:p w14:paraId="1B9FD04A">
            <w:pPr>
              <w:spacing w:line="312" w:lineRule="auto"/>
              <w:jc w:val="center"/>
              <w:rPr>
                <w:rFonts w:ascii="仿宋" w:hAnsi="仿宋" w:eastAsia="仿宋"/>
                <w:color w:val="000000"/>
              </w:rPr>
            </w:pPr>
            <w:r>
              <w:rPr>
                <w:rFonts w:ascii="仿宋" w:hAnsi="仿宋" w:eastAsia="仿宋"/>
                <w:color w:val="000000"/>
              </w:rPr>
              <w:t>6</w:t>
            </w:r>
          </w:p>
        </w:tc>
        <w:tc>
          <w:tcPr>
            <w:tcW w:w="7923" w:type="dxa"/>
            <w:vAlign w:val="center"/>
          </w:tcPr>
          <w:p w14:paraId="5D06617A">
            <w:pPr>
              <w:spacing w:line="312" w:lineRule="auto"/>
              <w:jc w:val="both"/>
              <w:rPr>
                <w:rFonts w:ascii="仿宋" w:hAnsi="仿宋" w:eastAsia="仿宋"/>
                <w:color w:val="000000"/>
              </w:rPr>
            </w:pPr>
            <w:r>
              <w:rPr>
                <w:rFonts w:hint="eastAsia" w:ascii="仿宋" w:hAnsi="仿宋" w:eastAsia="仿宋"/>
                <w:color w:val="000000"/>
              </w:rPr>
              <w:t>数据库支持备份恢复功能，支持逻辑备份、物理备份功能。逻辑备份支持按照多个级别的压缩比进行备份，支持按照指定字符集编码进行转储，支持按照指定条件转储指定部分的数据，支持加密、并行处理等功能。物理备份支持联机热备，支持全量备份、增量备份，差异备份、并支持并行处理、</w:t>
            </w:r>
            <w:r>
              <w:rPr>
                <w:rFonts w:ascii="仿宋" w:hAnsi="仿宋" w:eastAsia="仿宋"/>
                <w:color w:val="000000"/>
              </w:rPr>
              <w:t>zlib</w:t>
            </w:r>
            <w:r>
              <w:rPr>
                <w:rFonts w:hint="eastAsia" w:ascii="仿宋" w:hAnsi="仿宋" w:eastAsia="仿宋"/>
                <w:color w:val="000000"/>
              </w:rPr>
              <w:t>、</w:t>
            </w:r>
            <w:r>
              <w:rPr>
                <w:rFonts w:ascii="仿宋" w:hAnsi="仿宋" w:eastAsia="仿宋"/>
                <w:color w:val="000000"/>
              </w:rPr>
              <w:t>pglz</w:t>
            </w:r>
            <w:r>
              <w:rPr>
                <w:rFonts w:hint="eastAsia" w:ascii="仿宋" w:hAnsi="仿宋" w:eastAsia="仿宋"/>
                <w:color w:val="000000"/>
              </w:rPr>
              <w:t>压缩算法，支持按照多个级别的压缩比进行备份，支持进行备份集的合并，支持设置备份的留存策略，支持</w:t>
            </w:r>
            <w:r>
              <w:rPr>
                <w:rFonts w:ascii="仿宋" w:hAnsi="仿宋" w:eastAsia="仿宋"/>
                <w:color w:val="000000"/>
              </w:rPr>
              <w:t>PITR</w:t>
            </w:r>
            <w:r>
              <w:rPr>
                <w:rFonts w:hint="eastAsia" w:ascii="仿宋" w:hAnsi="仿宋" w:eastAsia="仿宋"/>
                <w:color w:val="000000"/>
              </w:rPr>
              <w:t>指定时间点恢复。逻辑和物理备份均支持本地和远程备份。</w:t>
            </w:r>
          </w:p>
        </w:tc>
      </w:tr>
      <w:tr w14:paraId="2174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025" w:type="dxa"/>
            <w:vAlign w:val="center"/>
          </w:tcPr>
          <w:p w14:paraId="3505F2E8">
            <w:pPr>
              <w:spacing w:line="312" w:lineRule="auto"/>
              <w:jc w:val="center"/>
              <w:rPr>
                <w:rFonts w:ascii="仿宋" w:hAnsi="仿宋" w:eastAsia="仿宋"/>
                <w:color w:val="000000"/>
              </w:rPr>
            </w:pPr>
            <w:r>
              <w:rPr>
                <w:rFonts w:ascii="仿宋" w:hAnsi="仿宋" w:eastAsia="仿宋"/>
                <w:color w:val="000000"/>
              </w:rPr>
              <w:t>7</w:t>
            </w:r>
          </w:p>
        </w:tc>
        <w:tc>
          <w:tcPr>
            <w:tcW w:w="7923" w:type="dxa"/>
            <w:vAlign w:val="center"/>
          </w:tcPr>
          <w:p w14:paraId="404490D0">
            <w:pPr>
              <w:spacing w:line="312" w:lineRule="auto"/>
              <w:jc w:val="both"/>
              <w:rPr>
                <w:rFonts w:ascii="仿宋" w:hAnsi="仿宋" w:eastAsia="仿宋"/>
                <w:color w:val="000000"/>
              </w:rPr>
            </w:pPr>
            <w:r>
              <w:rPr>
                <w:rFonts w:hint="eastAsia" w:ascii="仿宋" w:hAnsi="仿宋" w:eastAsia="仿宋"/>
                <w:color w:val="000000"/>
              </w:rPr>
              <w:t>支持</w:t>
            </w:r>
            <w:r>
              <w:rPr>
                <w:rFonts w:ascii="仿宋" w:hAnsi="仿宋" w:eastAsia="仿宋"/>
                <w:color w:val="000000"/>
              </w:rPr>
              <w:t>HA</w:t>
            </w:r>
            <w:r>
              <w:rPr>
                <w:rFonts w:hint="eastAsia" w:ascii="仿宋" w:hAnsi="仿宋" w:eastAsia="仿宋"/>
                <w:color w:val="000000"/>
              </w:rPr>
              <w:t>故障转移集群和主备同步技术，支持共享存储集群。</w:t>
            </w:r>
            <w:r>
              <w:rPr>
                <w:rFonts w:hint="eastAsia" w:ascii="仿宋" w:hAnsi="仿宋" w:eastAsia="仿宋"/>
                <w:color w:val="000000"/>
              </w:rPr>
              <w:br w:type="textWrapping"/>
            </w:r>
            <w:r>
              <w:rPr>
                <w:rFonts w:hint="eastAsia" w:ascii="仿宋" w:hAnsi="仿宋" w:eastAsia="仿宋"/>
                <w:color w:val="000000"/>
              </w:rPr>
              <w:t>支持读写分离以及故障转移功能，支持主从、一主多从、级联复制等架构，从库能设置延迟复制和优选提交复制。</w:t>
            </w:r>
            <w:r>
              <w:rPr>
                <w:rFonts w:hint="eastAsia" w:ascii="仿宋" w:hAnsi="仿宋" w:eastAsia="仿宋"/>
                <w:color w:val="000000"/>
              </w:rPr>
              <w:br w:type="textWrapping"/>
            </w:r>
            <w:r>
              <w:rPr>
                <w:rFonts w:hint="eastAsia" w:ascii="仿宋" w:hAnsi="仿宋" w:eastAsia="仿宋"/>
                <w:color w:val="000000"/>
              </w:rPr>
              <w:t>集群在确保</w:t>
            </w:r>
            <w:r>
              <w:rPr>
                <w:rFonts w:ascii="仿宋" w:hAnsi="仿宋" w:eastAsia="仿宋"/>
                <w:color w:val="000000"/>
              </w:rPr>
              <w:t>RPO=0</w:t>
            </w:r>
            <w:r>
              <w:rPr>
                <w:rFonts w:hint="eastAsia" w:ascii="仿宋" w:hAnsi="仿宋" w:eastAsia="仿宋"/>
                <w:color w:val="000000"/>
              </w:rPr>
              <w:t>的前提下，可以实现</w:t>
            </w:r>
            <w:r>
              <w:rPr>
                <w:rFonts w:ascii="仿宋" w:hAnsi="仿宋" w:eastAsia="仿宋"/>
                <w:color w:val="000000"/>
              </w:rPr>
              <w:t>RTO</w:t>
            </w:r>
            <w:r>
              <w:rPr>
                <w:rFonts w:hint="eastAsia" w:ascii="仿宋" w:hAnsi="仿宋" w:eastAsia="仿宋"/>
                <w:color w:val="000000"/>
              </w:rPr>
              <w:t>≤</w:t>
            </w:r>
            <w:r>
              <w:rPr>
                <w:rFonts w:ascii="仿宋" w:hAnsi="仿宋" w:eastAsia="仿宋"/>
                <w:color w:val="000000"/>
              </w:rPr>
              <w:t>10s</w:t>
            </w:r>
            <w:r>
              <w:rPr>
                <w:rFonts w:hint="eastAsia" w:ascii="仿宋" w:hAnsi="仿宋" w:eastAsia="仿宋"/>
                <w:color w:val="000000"/>
              </w:rPr>
              <w:t>。</w:t>
            </w:r>
          </w:p>
        </w:tc>
      </w:tr>
      <w:tr w14:paraId="274D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025" w:type="dxa"/>
            <w:vAlign w:val="center"/>
          </w:tcPr>
          <w:p w14:paraId="062B4B89">
            <w:pPr>
              <w:spacing w:line="312" w:lineRule="auto"/>
              <w:jc w:val="center"/>
              <w:rPr>
                <w:rFonts w:ascii="仿宋" w:hAnsi="仿宋" w:eastAsia="仿宋"/>
                <w:color w:val="000000"/>
              </w:rPr>
            </w:pPr>
            <w:r>
              <w:rPr>
                <w:rFonts w:ascii="仿宋" w:hAnsi="仿宋" w:eastAsia="仿宋"/>
                <w:color w:val="000000"/>
              </w:rPr>
              <w:t>8</w:t>
            </w:r>
          </w:p>
        </w:tc>
        <w:tc>
          <w:tcPr>
            <w:tcW w:w="7923" w:type="dxa"/>
            <w:vAlign w:val="center"/>
          </w:tcPr>
          <w:p w14:paraId="45FD73BA">
            <w:pPr>
              <w:spacing w:line="312" w:lineRule="auto"/>
              <w:jc w:val="both"/>
              <w:rPr>
                <w:rFonts w:ascii="仿宋" w:hAnsi="仿宋" w:eastAsia="仿宋"/>
                <w:color w:val="000000"/>
              </w:rPr>
            </w:pPr>
            <w:r>
              <w:rPr>
                <w:rFonts w:ascii="仿宋" w:hAnsi="仿宋" w:eastAsia="仿宋"/>
                <w:color w:val="000000"/>
              </w:rPr>
              <w:t>★</w:t>
            </w:r>
            <w:r>
              <w:rPr>
                <w:rFonts w:hint="eastAsia" w:ascii="仿宋" w:hAnsi="仿宋" w:eastAsia="仿宋"/>
                <w:color w:val="000000"/>
              </w:rPr>
              <w:t>支持</w:t>
            </w:r>
            <w:r>
              <w:rPr>
                <w:rFonts w:ascii="仿宋" w:hAnsi="仿宋" w:eastAsia="仿宋"/>
                <w:color w:val="000000"/>
              </w:rPr>
              <w:t>B-TREE</w:t>
            </w:r>
            <w:r>
              <w:rPr>
                <w:rFonts w:hint="eastAsia" w:ascii="仿宋" w:hAnsi="仿宋" w:eastAsia="仿宋"/>
                <w:color w:val="000000"/>
              </w:rPr>
              <w:t>索引、</w:t>
            </w:r>
            <w:r>
              <w:rPr>
                <w:rFonts w:ascii="仿宋" w:hAnsi="仿宋" w:eastAsia="仿宋"/>
                <w:color w:val="000000"/>
              </w:rPr>
              <w:t>GIN</w:t>
            </w:r>
            <w:r>
              <w:rPr>
                <w:rFonts w:hint="eastAsia" w:ascii="仿宋" w:hAnsi="仿宋" w:eastAsia="仿宋"/>
                <w:color w:val="000000"/>
              </w:rPr>
              <w:t>倒排索引、</w:t>
            </w:r>
            <w:r>
              <w:rPr>
                <w:rFonts w:ascii="仿宋" w:hAnsi="仿宋" w:eastAsia="仿宋"/>
                <w:color w:val="000000"/>
              </w:rPr>
              <w:t>Gist</w:t>
            </w:r>
            <w:r>
              <w:rPr>
                <w:rFonts w:hint="eastAsia" w:ascii="仿宋" w:hAnsi="仿宋" w:eastAsia="仿宋"/>
                <w:color w:val="000000"/>
              </w:rPr>
              <w:t>空间索引、</w:t>
            </w:r>
            <w:r>
              <w:rPr>
                <w:rFonts w:ascii="仿宋" w:hAnsi="仿宋" w:eastAsia="仿宋"/>
                <w:color w:val="000000"/>
              </w:rPr>
              <w:t>UBtree</w:t>
            </w:r>
            <w:r>
              <w:rPr>
                <w:rFonts w:hint="eastAsia" w:ascii="仿宋" w:hAnsi="仿宋" w:eastAsia="仿宋"/>
                <w:color w:val="000000"/>
              </w:rPr>
              <w:t>等多种索引访问方式。支持中文的全文检索功能，能够支持</w:t>
            </w:r>
            <w:r>
              <w:rPr>
                <w:rFonts w:ascii="仿宋" w:hAnsi="仿宋" w:eastAsia="仿宋"/>
                <w:color w:val="000000"/>
              </w:rPr>
              <w:t>like</w:t>
            </w:r>
            <w:r>
              <w:rPr>
                <w:rFonts w:hint="eastAsia" w:ascii="仿宋" w:hAnsi="仿宋" w:eastAsia="仿宋"/>
                <w:color w:val="000000"/>
              </w:rPr>
              <w:t>操作符的全文检索，中文全文检索功能不依赖中文词典</w:t>
            </w:r>
            <w:r>
              <w:rPr>
                <w:rFonts w:ascii="仿宋" w:hAnsi="仿宋" w:eastAsia="仿宋"/>
                <w:color w:val="000000"/>
              </w:rPr>
              <w:t>(</w:t>
            </w:r>
            <w:r>
              <w:rPr>
                <w:rFonts w:hint="eastAsia" w:ascii="仿宋" w:hAnsi="仿宋" w:eastAsia="仿宋"/>
                <w:color w:val="000000"/>
              </w:rPr>
              <w:t>中文全文检索功能需提供操作截图，对该功能的操作做详细步骤说明并承诺在提供的数据库版本上按照操作步骤实现功能效果）</w:t>
            </w:r>
          </w:p>
        </w:tc>
      </w:tr>
      <w:tr w14:paraId="4F2B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025" w:type="dxa"/>
            <w:vAlign w:val="center"/>
          </w:tcPr>
          <w:p w14:paraId="632D0ED9">
            <w:pPr>
              <w:spacing w:line="312" w:lineRule="auto"/>
              <w:jc w:val="center"/>
              <w:rPr>
                <w:rFonts w:ascii="仿宋" w:hAnsi="仿宋" w:eastAsia="仿宋"/>
                <w:color w:val="000000"/>
              </w:rPr>
            </w:pPr>
            <w:r>
              <w:rPr>
                <w:rFonts w:ascii="仿宋" w:hAnsi="仿宋" w:eastAsia="仿宋"/>
                <w:color w:val="000000"/>
              </w:rPr>
              <w:t>9</w:t>
            </w:r>
          </w:p>
        </w:tc>
        <w:tc>
          <w:tcPr>
            <w:tcW w:w="7923" w:type="dxa"/>
            <w:vAlign w:val="center"/>
          </w:tcPr>
          <w:p w14:paraId="529F9530">
            <w:pPr>
              <w:spacing w:line="312" w:lineRule="auto"/>
              <w:jc w:val="both"/>
              <w:rPr>
                <w:rFonts w:ascii="仿宋" w:hAnsi="仿宋" w:eastAsia="仿宋"/>
                <w:color w:val="000000"/>
              </w:rPr>
            </w:pPr>
            <w:r>
              <w:rPr>
                <w:rFonts w:hint="eastAsia" w:ascii="仿宋" w:hAnsi="仿宋" w:eastAsia="仿宋"/>
                <w:color w:val="000000"/>
              </w:rPr>
              <w:t>★支持全密态等值查询功能，全密态数据库提供数据整个生命周期中的隐私保护，涵盖网络传输、数据存储以及数据运行态，密态等值查询通过技术手段实现数据库密文查询和计算，实现数据拥有者与数据管理者读取能力分离。支持动态数据脱敏，在不改变源数据的前提下，通过在脱敏策略上配置针对的用户场景（</w:t>
            </w:r>
            <w:r>
              <w:rPr>
                <w:rFonts w:ascii="仿宋" w:hAnsi="仿宋" w:eastAsia="仿宋"/>
                <w:color w:val="000000"/>
              </w:rPr>
              <w:t>FILTER</w:t>
            </w:r>
            <w:r>
              <w:rPr>
                <w:rFonts w:hint="eastAsia" w:ascii="仿宋" w:hAnsi="仿宋" w:eastAsia="仿宋"/>
                <w:color w:val="000000"/>
              </w:rPr>
              <w:t>）、指定的敏感列标签（</w:t>
            </w:r>
            <w:r>
              <w:rPr>
                <w:rFonts w:ascii="仿宋" w:hAnsi="仿宋" w:eastAsia="仿宋"/>
                <w:color w:val="000000"/>
              </w:rPr>
              <w:t>LABEL</w:t>
            </w:r>
            <w:r>
              <w:rPr>
                <w:rFonts w:hint="eastAsia" w:ascii="仿宋" w:hAnsi="仿宋" w:eastAsia="仿宋"/>
                <w:color w:val="000000"/>
              </w:rPr>
              <w:t>）和对应的脱敏方式（</w:t>
            </w:r>
            <w:r>
              <w:rPr>
                <w:rFonts w:ascii="仿宋" w:hAnsi="仿宋" w:eastAsia="仿宋"/>
                <w:color w:val="000000"/>
              </w:rPr>
              <w:t>MASKING FUNCTION</w:t>
            </w:r>
            <w:r>
              <w:rPr>
                <w:rFonts w:hint="eastAsia" w:ascii="仿宋" w:hAnsi="仿宋" w:eastAsia="仿宋"/>
                <w:color w:val="000000"/>
              </w:rPr>
              <w:t>）来灵活地进行隐私数据保护。</w:t>
            </w:r>
          </w:p>
        </w:tc>
      </w:tr>
      <w:tr w14:paraId="04A0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25" w:type="dxa"/>
            <w:vAlign w:val="center"/>
          </w:tcPr>
          <w:p w14:paraId="49DDA878">
            <w:pPr>
              <w:spacing w:line="312" w:lineRule="auto"/>
              <w:jc w:val="center"/>
              <w:rPr>
                <w:rFonts w:ascii="仿宋" w:hAnsi="仿宋" w:eastAsia="仿宋"/>
                <w:color w:val="000000"/>
              </w:rPr>
            </w:pPr>
            <w:r>
              <w:rPr>
                <w:rFonts w:ascii="仿宋" w:hAnsi="仿宋" w:eastAsia="仿宋"/>
                <w:color w:val="000000"/>
              </w:rPr>
              <w:t>10</w:t>
            </w:r>
          </w:p>
        </w:tc>
        <w:tc>
          <w:tcPr>
            <w:tcW w:w="7923" w:type="dxa"/>
            <w:vAlign w:val="center"/>
          </w:tcPr>
          <w:p w14:paraId="5794DAF6">
            <w:pPr>
              <w:spacing w:line="312" w:lineRule="auto"/>
              <w:jc w:val="both"/>
              <w:rPr>
                <w:rFonts w:ascii="仿宋" w:hAnsi="仿宋" w:eastAsia="仿宋"/>
                <w:color w:val="000000"/>
              </w:rPr>
            </w:pPr>
            <w:r>
              <w:rPr>
                <w:rFonts w:hint="eastAsia" w:ascii="仿宋" w:hAnsi="仿宋" w:eastAsia="仿宋"/>
                <w:color w:val="000000"/>
              </w:rPr>
              <w:t>★支持自主访问控制、基于安全标签的强制访问控制、用户角色三权分立、审计、加密、身份识别与验证等安全功能。</w:t>
            </w:r>
            <w:r>
              <w:rPr>
                <w:rFonts w:ascii="仿宋" w:hAnsi="仿宋" w:eastAsia="仿宋"/>
                <w:color w:val="000000"/>
              </w:rPr>
              <w:t>(</w:t>
            </w:r>
            <w:r>
              <w:rPr>
                <w:rFonts w:hint="eastAsia" w:ascii="仿宋" w:hAnsi="仿宋" w:eastAsia="仿宋"/>
                <w:color w:val="000000"/>
              </w:rPr>
              <w:t>需提供操作截图，对该功能的操作做详细步骤说明并承诺在提供的数据库版本上按照操作步骤实现功能效果）</w:t>
            </w:r>
          </w:p>
        </w:tc>
      </w:tr>
      <w:tr w14:paraId="7898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025" w:type="dxa"/>
            <w:vAlign w:val="center"/>
          </w:tcPr>
          <w:p w14:paraId="2AEEB5A3">
            <w:pPr>
              <w:spacing w:line="312" w:lineRule="auto"/>
              <w:jc w:val="center"/>
              <w:rPr>
                <w:rFonts w:ascii="仿宋" w:hAnsi="仿宋" w:eastAsia="仿宋"/>
                <w:color w:val="000000"/>
              </w:rPr>
            </w:pPr>
            <w:r>
              <w:rPr>
                <w:rFonts w:ascii="仿宋" w:hAnsi="仿宋" w:eastAsia="仿宋"/>
                <w:color w:val="000000"/>
              </w:rPr>
              <w:t>11</w:t>
            </w:r>
          </w:p>
        </w:tc>
        <w:tc>
          <w:tcPr>
            <w:tcW w:w="7923" w:type="dxa"/>
            <w:vAlign w:val="center"/>
          </w:tcPr>
          <w:p w14:paraId="22BAF014">
            <w:pPr>
              <w:spacing w:line="312" w:lineRule="auto"/>
              <w:jc w:val="both"/>
              <w:rPr>
                <w:rFonts w:ascii="仿宋" w:hAnsi="仿宋" w:eastAsia="仿宋"/>
                <w:color w:val="000000"/>
              </w:rPr>
            </w:pPr>
            <w:r>
              <w:rPr>
                <w:rFonts w:hint="eastAsia" w:ascii="仿宋" w:hAnsi="仿宋" w:eastAsia="仿宋"/>
                <w:color w:val="000000"/>
              </w:rPr>
              <w:t>支持空间数据功能，支持丰富的原生几何数据类型，包括点、线、面、多点、多线、多面、几何集合等；支持</w:t>
            </w:r>
            <w:r>
              <w:rPr>
                <w:rFonts w:ascii="仿宋" w:hAnsi="仿宋" w:eastAsia="仿宋"/>
                <w:color w:val="000000"/>
              </w:rPr>
              <w:t>EWKT</w:t>
            </w:r>
            <w:r>
              <w:rPr>
                <w:rFonts w:hint="eastAsia" w:ascii="仿宋" w:hAnsi="仿宋" w:eastAsia="仿宋"/>
                <w:color w:val="000000"/>
              </w:rPr>
              <w:t>、</w:t>
            </w:r>
            <w:r>
              <w:rPr>
                <w:rFonts w:ascii="仿宋" w:hAnsi="仿宋" w:eastAsia="仿宋"/>
                <w:color w:val="000000"/>
              </w:rPr>
              <w:t>EWKB</w:t>
            </w:r>
            <w:r>
              <w:rPr>
                <w:rFonts w:hint="eastAsia" w:ascii="仿宋" w:hAnsi="仿宋" w:eastAsia="仿宋"/>
                <w:color w:val="000000"/>
              </w:rPr>
              <w:t>和</w:t>
            </w:r>
            <w:r>
              <w:rPr>
                <w:rFonts w:ascii="仿宋" w:hAnsi="仿宋" w:eastAsia="仿宋"/>
                <w:color w:val="000000"/>
              </w:rPr>
              <w:t>Canonical</w:t>
            </w:r>
            <w:r>
              <w:rPr>
                <w:rFonts w:hint="eastAsia" w:ascii="仿宋" w:hAnsi="仿宋" w:eastAsia="仿宋"/>
                <w:color w:val="000000"/>
              </w:rPr>
              <w:t>格式的几何对象；支持</w:t>
            </w:r>
            <w:r>
              <w:rPr>
                <w:rFonts w:ascii="仿宋" w:hAnsi="仿宋" w:eastAsia="仿宋"/>
                <w:color w:val="000000"/>
              </w:rPr>
              <w:t>2D/3D</w:t>
            </w:r>
            <w:r>
              <w:rPr>
                <w:rFonts w:hint="eastAsia" w:ascii="仿宋" w:hAnsi="仿宋" w:eastAsia="仿宋"/>
                <w:color w:val="000000"/>
              </w:rPr>
              <w:t>坐标系、坐标系转换</w:t>
            </w:r>
            <w:r>
              <w:rPr>
                <w:rFonts w:ascii="仿宋" w:hAnsi="仿宋" w:eastAsia="仿宋"/>
                <w:color w:val="000000"/>
              </w:rPr>
              <w:t>·</w:t>
            </w:r>
            <w:r>
              <w:rPr>
                <w:rFonts w:hint="eastAsia" w:ascii="仿宋" w:hAnsi="仿宋" w:eastAsia="仿宋"/>
                <w:color w:val="000000"/>
              </w:rPr>
              <w:t>和球体长度计算；支持空间数据分析函数和聚合函数，包括</w:t>
            </w:r>
            <w:r>
              <w:rPr>
                <w:rFonts w:ascii="仿宋" w:hAnsi="仿宋" w:eastAsia="仿宋"/>
                <w:color w:val="000000"/>
              </w:rPr>
              <w:t>Area</w:t>
            </w:r>
            <w:r>
              <w:rPr>
                <w:rFonts w:hint="eastAsia" w:ascii="仿宋" w:hAnsi="仿宋" w:eastAsia="仿宋"/>
                <w:color w:val="000000"/>
              </w:rPr>
              <w:t>、</w:t>
            </w:r>
            <w:r>
              <w:rPr>
                <w:rFonts w:ascii="仿宋" w:hAnsi="仿宋" w:eastAsia="仿宋"/>
                <w:color w:val="000000"/>
              </w:rPr>
              <w:t>Length</w:t>
            </w:r>
            <w:r>
              <w:rPr>
                <w:rFonts w:hint="eastAsia" w:ascii="仿宋" w:hAnsi="仿宋" w:eastAsia="仿宋"/>
                <w:color w:val="000000"/>
              </w:rPr>
              <w:t>、</w:t>
            </w:r>
            <w:r>
              <w:rPr>
                <w:rFonts w:ascii="仿宋" w:hAnsi="仿宋" w:eastAsia="仿宋"/>
                <w:color w:val="000000"/>
              </w:rPr>
              <w:t>Distance</w:t>
            </w:r>
            <w:r>
              <w:rPr>
                <w:rFonts w:hint="eastAsia" w:ascii="仿宋" w:hAnsi="仿宋" w:eastAsia="仿宋"/>
                <w:color w:val="000000"/>
              </w:rPr>
              <w:t>、</w:t>
            </w:r>
            <w:r>
              <w:rPr>
                <w:rFonts w:ascii="仿宋" w:hAnsi="仿宋" w:eastAsia="仿宋"/>
                <w:color w:val="000000"/>
              </w:rPr>
              <w:t>Extent</w:t>
            </w:r>
            <w:r>
              <w:rPr>
                <w:rFonts w:hint="eastAsia" w:ascii="仿宋" w:hAnsi="仿宋" w:eastAsia="仿宋"/>
                <w:color w:val="000000"/>
              </w:rPr>
              <w:t>、</w:t>
            </w:r>
            <w:r>
              <w:rPr>
                <w:rFonts w:ascii="仿宋" w:hAnsi="仿宋" w:eastAsia="仿宋"/>
                <w:color w:val="000000"/>
              </w:rPr>
              <w:t>ST_3DLineInterpolatePoint</w:t>
            </w:r>
            <w:r>
              <w:rPr>
                <w:rFonts w:hint="eastAsia" w:ascii="仿宋" w:hAnsi="仿宋" w:eastAsia="仿宋"/>
                <w:color w:val="000000"/>
              </w:rPr>
              <w:t>等；支持二元谓词如如</w:t>
            </w:r>
            <w:r>
              <w:rPr>
                <w:rFonts w:ascii="仿宋" w:hAnsi="仿宋" w:eastAsia="仿宋"/>
                <w:color w:val="000000"/>
              </w:rPr>
              <w:t>Union</w:t>
            </w:r>
            <w:r>
              <w:rPr>
                <w:rFonts w:hint="eastAsia" w:ascii="仿宋" w:hAnsi="仿宋" w:eastAsia="仿宋"/>
                <w:color w:val="000000"/>
              </w:rPr>
              <w:t>和</w:t>
            </w:r>
            <w:r>
              <w:rPr>
                <w:rFonts w:ascii="仿宋" w:hAnsi="仿宋" w:eastAsia="仿宋"/>
                <w:color w:val="000000"/>
              </w:rPr>
              <w:t>Difference</w:t>
            </w:r>
            <w:r>
              <w:rPr>
                <w:rFonts w:hint="eastAsia" w:ascii="仿宋" w:hAnsi="仿宋" w:eastAsia="仿宋"/>
                <w:color w:val="000000"/>
              </w:rPr>
              <w:t>，空间操作符如</w:t>
            </w:r>
            <w:r>
              <w:rPr>
                <w:rFonts w:ascii="仿宋" w:hAnsi="仿宋" w:eastAsia="仿宋"/>
                <w:color w:val="000000"/>
              </w:rPr>
              <w:t>Contains</w:t>
            </w:r>
            <w:r>
              <w:rPr>
                <w:rFonts w:hint="eastAsia" w:ascii="仿宋" w:hAnsi="仿宋" w:eastAsia="仿宋"/>
                <w:color w:val="000000"/>
              </w:rPr>
              <w:t>、</w:t>
            </w:r>
            <w:r>
              <w:rPr>
                <w:rFonts w:ascii="仿宋" w:hAnsi="仿宋" w:eastAsia="仿宋"/>
                <w:color w:val="000000"/>
              </w:rPr>
              <w:t>Within</w:t>
            </w:r>
            <w:r>
              <w:rPr>
                <w:rFonts w:hint="eastAsia" w:ascii="仿宋" w:hAnsi="仿宋" w:eastAsia="仿宋"/>
                <w:color w:val="000000"/>
              </w:rPr>
              <w:t>、</w:t>
            </w:r>
            <w:r>
              <w:rPr>
                <w:rFonts w:ascii="仿宋" w:hAnsi="仿宋" w:eastAsia="仿宋"/>
                <w:color w:val="000000"/>
              </w:rPr>
              <w:t>Overlaps</w:t>
            </w:r>
            <w:r>
              <w:rPr>
                <w:rFonts w:hint="eastAsia" w:ascii="仿宋" w:hAnsi="仿宋" w:eastAsia="仿宋"/>
                <w:color w:val="000000"/>
              </w:rPr>
              <w:t>、</w:t>
            </w:r>
            <w:r>
              <w:rPr>
                <w:rFonts w:ascii="仿宋" w:hAnsi="仿宋" w:eastAsia="仿宋"/>
                <w:color w:val="000000"/>
              </w:rPr>
              <w:t>Touches</w:t>
            </w:r>
            <w:r>
              <w:rPr>
                <w:rFonts w:hint="eastAsia" w:ascii="仿宋" w:hAnsi="仿宋" w:eastAsia="仿宋"/>
                <w:color w:val="000000"/>
              </w:rPr>
              <w:t>等；</w:t>
            </w:r>
          </w:p>
        </w:tc>
      </w:tr>
      <w:tr w14:paraId="4AF9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1025" w:type="dxa"/>
            <w:vAlign w:val="center"/>
          </w:tcPr>
          <w:p w14:paraId="200DD8DB">
            <w:pPr>
              <w:spacing w:line="312" w:lineRule="auto"/>
              <w:jc w:val="center"/>
              <w:rPr>
                <w:rFonts w:ascii="仿宋" w:hAnsi="仿宋" w:eastAsia="仿宋"/>
                <w:color w:val="000000"/>
              </w:rPr>
            </w:pPr>
            <w:r>
              <w:rPr>
                <w:rFonts w:ascii="仿宋" w:hAnsi="仿宋" w:eastAsia="仿宋"/>
                <w:color w:val="000000"/>
              </w:rPr>
              <w:t>12</w:t>
            </w:r>
          </w:p>
        </w:tc>
        <w:tc>
          <w:tcPr>
            <w:tcW w:w="7923" w:type="dxa"/>
            <w:vAlign w:val="center"/>
          </w:tcPr>
          <w:p w14:paraId="4E451310">
            <w:pPr>
              <w:spacing w:line="312" w:lineRule="auto"/>
              <w:jc w:val="both"/>
              <w:rPr>
                <w:rFonts w:ascii="仿宋" w:hAnsi="仿宋" w:eastAsia="仿宋"/>
                <w:color w:val="000000"/>
              </w:rPr>
            </w:pPr>
            <w:r>
              <w:rPr>
                <w:rFonts w:hint="eastAsia" w:ascii="仿宋" w:hAnsi="仿宋" w:eastAsia="仿宋"/>
                <w:color w:val="000000"/>
              </w:rPr>
              <w:t>高度兼容</w:t>
            </w:r>
            <w:r>
              <w:rPr>
                <w:rFonts w:ascii="仿宋" w:hAnsi="仿宋" w:eastAsia="仿宋"/>
                <w:color w:val="000000"/>
              </w:rPr>
              <w:t>Oracle</w:t>
            </w:r>
            <w:r>
              <w:rPr>
                <w:rFonts w:hint="eastAsia" w:ascii="仿宋" w:hAnsi="仿宋" w:eastAsia="仿宋"/>
                <w:color w:val="000000"/>
              </w:rPr>
              <w:t>，支持</w:t>
            </w:r>
            <w:r>
              <w:rPr>
                <w:rFonts w:ascii="仿宋" w:hAnsi="仿宋" w:eastAsia="仿宋"/>
                <w:color w:val="000000"/>
              </w:rPr>
              <w:t>number</w:t>
            </w:r>
            <w:r>
              <w:rPr>
                <w:rFonts w:hint="eastAsia" w:ascii="仿宋" w:hAnsi="仿宋" w:eastAsia="仿宋"/>
                <w:color w:val="000000"/>
              </w:rPr>
              <w:t>、</w:t>
            </w:r>
            <w:r>
              <w:rPr>
                <w:rFonts w:ascii="仿宋" w:hAnsi="仿宋" w:eastAsia="仿宋"/>
                <w:color w:val="000000"/>
              </w:rPr>
              <w:t>date</w:t>
            </w:r>
            <w:r>
              <w:rPr>
                <w:rFonts w:hint="eastAsia" w:ascii="仿宋" w:hAnsi="仿宋" w:eastAsia="仿宋"/>
                <w:color w:val="000000"/>
              </w:rPr>
              <w:t>、</w:t>
            </w:r>
            <w:r>
              <w:rPr>
                <w:rFonts w:ascii="仿宋" w:hAnsi="仿宋" w:eastAsia="仿宋"/>
                <w:color w:val="000000"/>
              </w:rPr>
              <w:t>blob/clob</w:t>
            </w:r>
            <w:r>
              <w:rPr>
                <w:rFonts w:hint="eastAsia" w:ascii="仿宋" w:hAnsi="仿宋" w:eastAsia="仿宋"/>
                <w:color w:val="000000"/>
              </w:rPr>
              <w:t>、</w:t>
            </w:r>
            <w:r>
              <w:rPr>
                <w:rFonts w:ascii="仿宋" w:hAnsi="仿宋" w:eastAsia="仿宋"/>
                <w:color w:val="000000"/>
              </w:rPr>
              <w:t>varchar2</w:t>
            </w:r>
            <w:r>
              <w:rPr>
                <w:rFonts w:hint="eastAsia" w:ascii="仿宋" w:hAnsi="仿宋" w:eastAsia="仿宋"/>
                <w:color w:val="000000"/>
              </w:rPr>
              <w:t>、</w:t>
            </w:r>
            <w:r>
              <w:rPr>
                <w:rFonts w:ascii="仿宋" w:hAnsi="仿宋" w:eastAsia="仿宋"/>
                <w:color w:val="000000"/>
              </w:rPr>
              <w:t>NVARCHAR2(N)</w:t>
            </w:r>
            <w:r>
              <w:rPr>
                <w:rFonts w:hint="eastAsia" w:ascii="仿宋" w:hAnsi="仿宋" w:eastAsia="仿宋"/>
                <w:color w:val="000000"/>
              </w:rPr>
              <w:t>、</w:t>
            </w:r>
            <w:r>
              <w:rPr>
                <w:rFonts w:ascii="仿宋" w:hAnsi="仿宋" w:eastAsia="仿宋"/>
                <w:color w:val="000000"/>
              </w:rPr>
              <w:t>bfile</w:t>
            </w:r>
            <w:r>
              <w:rPr>
                <w:rFonts w:hint="eastAsia" w:ascii="仿宋" w:hAnsi="仿宋" w:eastAsia="仿宋"/>
                <w:color w:val="000000"/>
              </w:rPr>
              <w:t>等数据类型，支持基于</w:t>
            </w:r>
            <w:r>
              <w:rPr>
                <w:rFonts w:ascii="仿宋" w:hAnsi="仿宋" w:eastAsia="仿宋"/>
                <w:color w:val="000000"/>
              </w:rPr>
              <w:t>(+)</w:t>
            </w:r>
            <w:r>
              <w:rPr>
                <w:rFonts w:hint="eastAsia" w:ascii="仿宋" w:hAnsi="仿宋" w:eastAsia="仿宋"/>
                <w:color w:val="000000"/>
              </w:rPr>
              <w:t>操作符的表关联，层次查询</w:t>
            </w:r>
            <w:r>
              <w:rPr>
                <w:rFonts w:ascii="仿宋" w:hAnsi="仿宋" w:eastAsia="仿宋"/>
                <w:color w:val="000000"/>
              </w:rPr>
              <w:t>connect by</w:t>
            </w:r>
            <w:r>
              <w:rPr>
                <w:rFonts w:hint="eastAsia" w:ascii="仿宋" w:hAnsi="仿宋" w:eastAsia="仿宋"/>
                <w:color w:val="000000"/>
              </w:rPr>
              <w:t>支持</w:t>
            </w:r>
            <w:r>
              <w:rPr>
                <w:rFonts w:ascii="仿宋" w:hAnsi="仿宋" w:eastAsia="仿宋"/>
                <w:color w:val="000000"/>
              </w:rPr>
              <w:t>level</w:t>
            </w:r>
            <w:r>
              <w:rPr>
                <w:rFonts w:hint="eastAsia" w:ascii="仿宋" w:hAnsi="仿宋" w:eastAsia="仿宋"/>
                <w:color w:val="000000"/>
              </w:rPr>
              <w:t>伪列、支持</w:t>
            </w:r>
            <w:r>
              <w:rPr>
                <w:rFonts w:ascii="仿宋" w:hAnsi="仿宋" w:eastAsia="仿宋"/>
                <w:color w:val="000000"/>
              </w:rPr>
              <w:t>connect</w:t>
            </w:r>
            <w:r>
              <w:rPr>
                <w:rFonts w:ascii="Calibri" w:hAnsi="Calibri" w:eastAsia="仿宋" w:cs="Calibri"/>
                <w:color w:val="000000"/>
              </w:rPr>
              <w:t> </w:t>
            </w:r>
            <w:r>
              <w:rPr>
                <w:rFonts w:ascii="仿宋" w:hAnsi="仿宋" w:eastAsia="仿宋"/>
                <w:color w:val="000000"/>
              </w:rPr>
              <w:t>by</w:t>
            </w:r>
            <w:r>
              <w:rPr>
                <w:rFonts w:ascii="Calibri" w:hAnsi="Calibri" w:eastAsia="仿宋" w:cs="Calibri"/>
                <w:color w:val="000000"/>
              </w:rPr>
              <w:t> </w:t>
            </w:r>
            <w:r>
              <w:rPr>
                <w:rFonts w:ascii="仿宋" w:hAnsi="仿宋" w:eastAsia="仿宋"/>
                <w:color w:val="000000"/>
              </w:rPr>
              <w:t>isleaf,order</w:t>
            </w:r>
            <w:r>
              <w:rPr>
                <w:rFonts w:ascii="Calibri" w:hAnsi="Calibri" w:eastAsia="仿宋" w:cs="Calibri"/>
                <w:color w:val="000000"/>
              </w:rPr>
              <w:t> </w:t>
            </w:r>
            <w:r>
              <w:rPr>
                <w:rFonts w:ascii="仿宋" w:hAnsi="仿宋" w:eastAsia="仿宋"/>
                <w:color w:val="000000"/>
              </w:rPr>
              <w:t>siblings</w:t>
            </w:r>
            <w:r>
              <w:rPr>
                <w:rFonts w:ascii="Calibri" w:hAnsi="Calibri" w:eastAsia="仿宋" w:cs="Calibri"/>
                <w:color w:val="000000"/>
              </w:rPr>
              <w:t> </w:t>
            </w:r>
            <w:r>
              <w:rPr>
                <w:rFonts w:ascii="仿宋" w:hAnsi="仿宋" w:eastAsia="仿宋"/>
                <w:color w:val="000000"/>
              </w:rPr>
              <w:t>by</w:t>
            </w:r>
            <w:r>
              <w:rPr>
                <w:rFonts w:hint="eastAsia" w:ascii="仿宋" w:hAnsi="仿宋" w:eastAsia="仿宋"/>
                <w:color w:val="000000"/>
              </w:rPr>
              <w:t>和</w:t>
            </w:r>
            <w:r>
              <w:rPr>
                <w:rFonts w:ascii="仿宋" w:hAnsi="仿宋" w:eastAsia="仿宋"/>
                <w:color w:val="000000"/>
              </w:rPr>
              <w:t>connect</w:t>
            </w:r>
            <w:r>
              <w:rPr>
                <w:rFonts w:ascii="Calibri" w:hAnsi="Calibri" w:eastAsia="仿宋" w:cs="Calibri"/>
                <w:color w:val="000000"/>
              </w:rPr>
              <w:t> </w:t>
            </w:r>
            <w:r>
              <w:rPr>
                <w:rFonts w:ascii="仿宋" w:hAnsi="仿宋" w:eastAsia="仿宋"/>
                <w:color w:val="000000"/>
              </w:rPr>
              <w:t>by</w:t>
            </w:r>
            <w:r>
              <w:rPr>
                <w:rFonts w:ascii="Calibri" w:hAnsi="Calibri" w:eastAsia="仿宋" w:cs="Calibri"/>
                <w:color w:val="000000"/>
              </w:rPr>
              <w:t> </w:t>
            </w:r>
            <w:r>
              <w:rPr>
                <w:rFonts w:ascii="仿宋" w:hAnsi="仿宋" w:eastAsia="仿宋"/>
                <w:color w:val="000000"/>
              </w:rPr>
              <w:t>root</w:t>
            </w:r>
            <w:r>
              <w:rPr>
                <w:rFonts w:hint="eastAsia" w:ascii="仿宋" w:hAnsi="仿宋" w:eastAsia="仿宋"/>
                <w:color w:val="000000"/>
              </w:rPr>
              <w:t>；</w:t>
            </w:r>
            <w:r>
              <w:rPr>
                <w:rFonts w:hint="eastAsia" w:ascii="仿宋" w:hAnsi="仿宋" w:eastAsia="仿宋"/>
                <w:color w:val="000000"/>
              </w:rPr>
              <w:br w:type="textWrapping"/>
            </w:r>
            <w:r>
              <w:rPr>
                <w:rFonts w:hint="eastAsia" w:ascii="仿宋" w:hAnsi="仿宋" w:eastAsia="仿宋"/>
                <w:color w:val="000000"/>
              </w:rPr>
              <w:t>支持</w:t>
            </w:r>
            <w:r>
              <w:rPr>
                <w:rFonts w:ascii="仿宋" w:hAnsi="仿宋" w:eastAsia="仿宋"/>
                <w:color w:val="000000"/>
              </w:rPr>
              <w:t>Package</w:t>
            </w:r>
            <w:r>
              <w:rPr>
                <w:rFonts w:hint="eastAsia" w:ascii="仿宋" w:hAnsi="仿宋" w:eastAsia="仿宋"/>
                <w:color w:val="000000"/>
              </w:rPr>
              <w:t>、支持</w:t>
            </w:r>
            <w:r>
              <w:rPr>
                <w:rFonts w:ascii="仿宋" w:hAnsi="仿宋" w:eastAsia="仿宋"/>
                <w:color w:val="000000"/>
              </w:rPr>
              <w:t>plsql</w:t>
            </w:r>
            <w:r>
              <w:rPr>
                <w:rFonts w:hint="eastAsia" w:ascii="仿宋" w:hAnsi="仿宋" w:eastAsia="仿宋"/>
                <w:color w:val="000000"/>
              </w:rPr>
              <w:t>中嵌套表、关联数组；支持闪回删除表和数据的</w:t>
            </w:r>
            <w:r>
              <w:rPr>
                <w:rFonts w:ascii="仿宋" w:hAnsi="仿宋" w:eastAsia="仿宋"/>
                <w:color w:val="000000"/>
              </w:rPr>
              <w:t>flashback ... to before drop/truncate</w:t>
            </w:r>
            <w:r>
              <w:rPr>
                <w:rFonts w:hint="eastAsia" w:ascii="仿宋" w:hAnsi="仿宋" w:eastAsia="仿宋"/>
                <w:color w:val="000000"/>
              </w:rPr>
              <w:t>语法</w:t>
            </w:r>
            <w:r>
              <w:rPr>
                <w:rFonts w:ascii="仿宋" w:hAnsi="仿宋" w:eastAsia="仿宋"/>
                <w:color w:val="000000"/>
              </w:rPr>
              <w:t>;</w:t>
            </w:r>
            <w:r>
              <w:rPr>
                <w:rFonts w:hint="eastAsia" w:ascii="仿宋" w:hAnsi="仿宋" w:eastAsia="仿宋"/>
                <w:color w:val="000000"/>
              </w:rPr>
              <w:t>支持同义词和永久定义的全局临时表等功能，支持</w:t>
            </w:r>
            <w:r>
              <w:rPr>
                <w:rFonts w:ascii="仿宋" w:hAnsi="仿宋" w:eastAsia="仿宋"/>
                <w:color w:val="000000"/>
              </w:rPr>
              <w:t>ORACLE</w:t>
            </w:r>
            <w:r>
              <w:rPr>
                <w:rFonts w:hint="eastAsia" w:ascii="仿宋" w:hAnsi="仿宋" w:eastAsia="仿宋"/>
                <w:color w:val="000000"/>
              </w:rPr>
              <w:t>数据库的常用数据字典、系统函数，存储过程、触发器支持自治事务功能；支持常用系统工具包，包括</w:t>
            </w:r>
            <w:r>
              <w:rPr>
                <w:rFonts w:ascii="仿宋" w:hAnsi="仿宋" w:eastAsia="仿宋"/>
                <w:color w:val="000000"/>
              </w:rPr>
              <w:t>dbms_application_info</w:t>
            </w:r>
            <w:r>
              <w:rPr>
                <w:rFonts w:hint="eastAsia" w:ascii="仿宋" w:hAnsi="仿宋" w:eastAsia="仿宋"/>
                <w:color w:val="000000"/>
              </w:rPr>
              <w:t>、</w:t>
            </w:r>
            <w:r>
              <w:rPr>
                <w:rFonts w:ascii="仿宋" w:hAnsi="仿宋" w:eastAsia="仿宋"/>
                <w:color w:val="000000"/>
              </w:rPr>
              <w:t>dbms_crypto</w:t>
            </w:r>
            <w:r>
              <w:rPr>
                <w:rFonts w:hint="eastAsia" w:ascii="仿宋" w:hAnsi="仿宋" w:eastAsia="仿宋"/>
                <w:color w:val="000000"/>
              </w:rPr>
              <w:t>、</w:t>
            </w:r>
            <w:r>
              <w:rPr>
                <w:rFonts w:ascii="仿宋" w:hAnsi="仿宋" w:eastAsia="仿宋"/>
                <w:color w:val="000000"/>
              </w:rPr>
              <w:t>dbms_obfuscation_toolkit</w:t>
            </w:r>
            <w:r>
              <w:rPr>
                <w:rFonts w:hint="eastAsia" w:ascii="仿宋" w:hAnsi="仿宋" w:eastAsia="仿宋"/>
                <w:color w:val="000000"/>
              </w:rPr>
              <w:t>、</w:t>
            </w:r>
            <w:r>
              <w:rPr>
                <w:rFonts w:ascii="仿宋" w:hAnsi="仿宋" w:eastAsia="仿宋"/>
                <w:color w:val="000000"/>
              </w:rPr>
              <w:t>dbms_porfiler</w:t>
            </w:r>
            <w:r>
              <w:rPr>
                <w:rFonts w:hint="eastAsia" w:ascii="仿宋" w:hAnsi="仿宋" w:eastAsia="仿宋"/>
                <w:color w:val="000000"/>
              </w:rPr>
              <w:t>、</w:t>
            </w:r>
            <w:r>
              <w:rPr>
                <w:rFonts w:ascii="仿宋" w:hAnsi="仿宋" w:eastAsia="仿宋"/>
                <w:color w:val="000000"/>
              </w:rPr>
              <w:t>dbms_pipe</w:t>
            </w:r>
            <w:r>
              <w:rPr>
                <w:rFonts w:hint="eastAsia" w:ascii="仿宋" w:hAnsi="仿宋" w:eastAsia="仿宋"/>
                <w:color w:val="000000"/>
              </w:rPr>
              <w:t>、</w:t>
            </w:r>
            <w:r>
              <w:rPr>
                <w:rFonts w:ascii="仿宋" w:hAnsi="仿宋" w:eastAsia="仿宋"/>
                <w:color w:val="000000"/>
              </w:rPr>
              <w:t>dbms_alert</w:t>
            </w:r>
            <w:r>
              <w:rPr>
                <w:rFonts w:hint="eastAsia" w:ascii="仿宋" w:hAnsi="仿宋" w:eastAsia="仿宋"/>
                <w:color w:val="000000"/>
              </w:rPr>
              <w:t>、</w:t>
            </w:r>
            <w:r>
              <w:rPr>
                <w:rFonts w:ascii="仿宋" w:hAnsi="仿宋" w:eastAsia="仿宋"/>
                <w:color w:val="000000"/>
              </w:rPr>
              <w:t>dbms_debug</w:t>
            </w:r>
            <w:r>
              <w:rPr>
                <w:rFonts w:hint="eastAsia" w:ascii="仿宋" w:hAnsi="仿宋" w:eastAsia="仿宋"/>
                <w:color w:val="000000"/>
              </w:rPr>
              <w:t>、</w:t>
            </w:r>
            <w:r>
              <w:rPr>
                <w:rFonts w:ascii="仿宋" w:hAnsi="仿宋" w:eastAsia="仿宋"/>
                <w:color w:val="000000"/>
              </w:rPr>
              <w:t>utl_smtp</w:t>
            </w:r>
            <w:r>
              <w:rPr>
                <w:rFonts w:hint="eastAsia" w:ascii="仿宋" w:hAnsi="仿宋" w:eastAsia="仿宋"/>
                <w:color w:val="000000"/>
              </w:rPr>
              <w:t>、</w:t>
            </w:r>
            <w:r>
              <w:rPr>
                <w:rFonts w:ascii="仿宋" w:hAnsi="仿宋" w:eastAsia="仿宋"/>
                <w:color w:val="000000"/>
              </w:rPr>
              <w:t>utl_http</w:t>
            </w:r>
            <w:r>
              <w:rPr>
                <w:rFonts w:hint="eastAsia" w:ascii="仿宋" w:hAnsi="仿宋" w:eastAsia="仿宋"/>
                <w:color w:val="000000"/>
              </w:rPr>
              <w:t>、</w:t>
            </w:r>
            <w:r>
              <w:rPr>
                <w:rFonts w:ascii="仿宋" w:hAnsi="仿宋" w:eastAsia="仿宋"/>
                <w:color w:val="000000"/>
              </w:rPr>
              <w:t>utl_url</w:t>
            </w:r>
            <w:r>
              <w:rPr>
                <w:rFonts w:hint="eastAsia" w:ascii="仿宋" w:hAnsi="仿宋" w:eastAsia="仿宋"/>
                <w:color w:val="000000"/>
              </w:rPr>
              <w:t>、</w:t>
            </w:r>
            <w:r>
              <w:rPr>
                <w:rFonts w:ascii="仿宋" w:hAnsi="仿宋" w:eastAsia="仿宋"/>
                <w:color w:val="000000"/>
              </w:rPr>
              <w:t>dbms_xmldom</w:t>
            </w:r>
            <w:r>
              <w:rPr>
                <w:rFonts w:hint="eastAsia" w:ascii="仿宋" w:hAnsi="仿宋" w:eastAsia="仿宋"/>
                <w:color w:val="000000"/>
              </w:rPr>
              <w:t>、</w:t>
            </w:r>
            <w:r>
              <w:rPr>
                <w:rFonts w:ascii="仿宋" w:hAnsi="仿宋" w:eastAsia="仿宋"/>
                <w:color w:val="000000"/>
              </w:rPr>
              <w:t>dbms_xmlparser</w:t>
            </w:r>
            <w:r>
              <w:rPr>
                <w:rFonts w:hint="eastAsia" w:ascii="仿宋" w:hAnsi="仿宋" w:eastAsia="仿宋"/>
                <w:color w:val="000000"/>
              </w:rPr>
              <w:t>等；（提供所有兼容项的操作证明截图，并加盖原厂公章，对该功能的操作做详细步骤说明承诺在提供的数据库版本上按照操作步骤实现功能效果）</w:t>
            </w:r>
          </w:p>
        </w:tc>
      </w:tr>
      <w:tr w14:paraId="62CC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1025" w:type="dxa"/>
            <w:vAlign w:val="center"/>
          </w:tcPr>
          <w:p w14:paraId="546379CB">
            <w:pPr>
              <w:spacing w:line="312" w:lineRule="auto"/>
              <w:jc w:val="center"/>
              <w:rPr>
                <w:rFonts w:ascii="仿宋" w:hAnsi="仿宋" w:eastAsia="仿宋"/>
                <w:color w:val="000000"/>
              </w:rPr>
            </w:pPr>
            <w:r>
              <w:rPr>
                <w:rFonts w:ascii="仿宋" w:hAnsi="仿宋" w:eastAsia="仿宋"/>
                <w:color w:val="000000"/>
              </w:rPr>
              <w:t>13</w:t>
            </w:r>
          </w:p>
        </w:tc>
        <w:tc>
          <w:tcPr>
            <w:tcW w:w="7923" w:type="dxa"/>
            <w:vAlign w:val="center"/>
          </w:tcPr>
          <w:p w14:paraId="07445065">
            <w:pPr>
              <w:spacing w:line="312" w:lineRule="auto"/>
              <w:jc w:val="both"/>
              <w:rPr>
                <w:rFonts w:ascii="仿宋" w:hAnsi="仿宋" w:eastAsia="仿宋"/>
                <w:color w:val="000000"/>
              </w:rPr>
            </w:pPr>
            <w:r>
              <w:rPr>
                <w:rFonts w:hint="eastAsia" w:ascii="仿宋" w:hAnsi="仿宋" w:eastAsia="仿宋"/>
                <w:color w:val="000000"/>
              </w:rPr>
              <w:t>★支持</w:t>
            </w:r>
            <w:r>
              <w:rPr>
                <w:rFonts w:ascii="仿宋" w:hAnsi="仿宋" w:eastAsia="仿宋"/>
                <w:color w:val="000000"/>
              </w:rPr>
              <w:t>utf8mb4</w:t>
            </w:r>
            <w:r>
              <w:rPr>
                <w:rFonts w:hint="eastAsia" w:ascii="仿宋" w:hAnsi="仿宋" w:eastAsia="仿宋"/>
                <w:color w:val="000000"/>
              </w:rPr>
              <w:t>编码字符集，需兼容</w:t>
            </w:r>
            <w:r>
              <w:rPr>
                <w:rFonts w:ascii="仿宋" w:hAnsi="仿宋" w:eastAsia="仿宋"/>
                <w:color w:val="000000"/>
              </w:rPr>
              <w:t>MySQL</w:t>
            </w:r>
            <w:r>
              <w:rPr>
                <w:rFonts w:hint="eastAsia" w:ascii="仿宋" w:hAnsi="仿宋" w:eastAsia="仿宋"/>
                <w:color w:val="000000"/>
              </w:rPr>
              <w:t>常用数据类型包括</w:t>
            </w:r>
            <w:r>
              <w:rPr>
                <w:rFonts w:ascii="仿宋" w:hAnsi="仿宋" w:eastAsia="仿宋"/>
                <w:color w:val="000000"/>
              </w:rPr>
              <w:t>INTEGER(n)</w:t>
            </w:r>
            <w:r>
              <w:rPr>
                <w:rFonts w:hint="eastAsia" w:ascii="仿宋" w:hAnsi="仿宋" w:eastAsia="仿宋"/>
                <w:color w:val="000000"/>
              </w:rPr>
              <w:t>、</w:t>
            </w:r>
            <w:r>
              <w:rPr>
                <w:rFonts w:ascii="仿宋" w:hAnsi="仿宋" w:eastAsia="仿宋"/>
                <w:color w:val="000000"/>
              </w:rPr>
              <w:t>SMALLINT(n)</w:t>
            </w:r>
            <w:r>
              <w:rPr>
                <w:rFonts w:hint="eastAsia" w:ascii="仿宋" w:hAnsi="仿宋" w:eastAsia="仿宋"/>
                <w:color w:val="000000"/>
              </w:rPr>
              <w:t>、</w:t>
            </w:r>
            <w:r>
              <w:rPr>
                <w:rFonts w:ascii="仿宋" w:hAnsi="仿宋" w:eastAsia="仿宋"/>
                <w:color w:val="000000"/>
              </w:rPr>
              <w:t>TINYINT(n)</w:t>
            </w:r>
            <w:r>
              <w:rPr>
                <w:rFonts w:hint="eastAsia" w:ascii="仿宋" w:hAnsi="仿宋" w:eastAsia="仿宋"/>
                <w:color w:val="000000"/>
              </w:rPr>
              <w:t>、</w:t>
            </w:r>
            <w:r>
              <w:rPr>
                <w:rFonts w:ascii="仿宋" w:hAnsi="仿宋" w:eastAsia="仿宋"/>
                <w:color w:val="000000"/>
              </w:rPr>
              <w:t>BIGINT(n)</w:t>
            </w:r>
            <w:r>
              <w:rPr>
                <w:rFonts w:hint="eastAsia" w:ascii="仿宋" w:hAnsi="仿宋" w:eastAsia="仿宋"/>
                <w:color w:val="000000"/>
              </w:rPr>
              <w:t>、</w:t>
            </w:r>
            <w:r>
              <w:rPr>
                <w:rFonts w:ascii="仿宋" w:hAnsi="仿宋" w:eastAsia="仿宋"/>
                <w:color w:val="000000"/>
              </w:rPr>
              <w:t>MEDIUMINT(n)</w:t>
            </w:r>
            <w:r>
              <w:rPr>
                <w:rFonts w:hint="eastAsia" w:ascii="仿宋" w:hAnsi="仿宋" w:eastAsia="仿宋"/>
                <w:color w:val="000000"/>
              </w:rPr>
              <w:t>、</w:t>
            </w:r>
            <w:r>
              <w:rPr>
                <w:rFonts w:ascii="仿宋" w:hAnsi="仿宋" w:eastAsia="仿宋"/>
                <w:color w:val="000000"/>
              </w:rPr>
              <w:t>Bit</w:t>
            </w:r>
            <w:r>
              <w:rPr>
                <w:rFonts w:hint="eastAsia" w:ascii="仿宋" w:hAnsi="仿宋" w:eastAsia="仿宋"/>
                <w:color w:val="000000"/>
              </w:rPr>
              <w:t>、</w:t>
            </w:r>
            <w:r>
              <w:rPr>
                <w:rFonts w:ascii="仿宋" w:hAnsi="仿宋" w:eastAsia="仿宋"/>
                <w:color w:val="000000"/>
              </w:rPr>
              <w:t>Datetime</w:t>
            </w:r>
            <w:r>
              <w:rPr>
                <w:rFonts w:hint="eastAsia" w:ascii="仿宋" w:hAnsi="仿宋" w:eastAsia="仿宋"/>
                <w:color w:val="000000"/>
              </w:rPr>
              <w:t>、</w:t>
            </w:r>
            <w:r>
              <w:rPr>
                <w:rFonts w:ascii="仿宋" w:hAnsi="仿宋" w:eastAsia="仿宋"/>
                <w:color w:val="000000"/>
              </w:rPr>
              <w:t>LONGTEXT</w:t>
            </w:r>
            <w:r>
              <w:rPr>
                <w:rFonts w:hint="eastAsia" w:ascii="仿宋" w:hAnsi="仿宋" w:eastAsia="仿宋"/>
                <w:color w:val="000000"/>
              </w:rPr>
              <w:t>、</w:t>
            </w:r>
            <w:r>
              <w:rPr>
                <w:rFonts w:ascii="仿宋" w:hAnsi="仿宋" w:eastAsia="仿宋"/>
                <w:color w:val="000000"/>
              </w:rPr>
              <w:t>LONGBLOB</w:t>
            </w:r>
            <w:r>
              <w:rPr>
                <w:rFonts w:hint="eastAsia" w:ascii="仿宋" w:hAnsi="仿宋" w:eastAsia="仿宋"/>
                <w:color w:val="000000"/>
              </w:rPr>
              <w:t>等，支持表字段</w:t>
            </w:r>
            <w:r>
              <w:rPr>
                <w:rFonts w:ascii="仿宋" w:hAnsi="仿宋" w:eastAsia="仿宋"/>
                <w:color w:val="000000"/>
              </w:rPr>
              <w:t>AUTO_INCREMENT</w:t>
            </w:r>
            <w:r>
              <w:rPr>
                <w:rFonts w:hint="eastAsia" w:ascii="仿宋" w:hAnsi="仿宋" w:eastAsia="仿宋"/>
                <w:color w:val="000000"/>
              </w:rPr>
              <w:t>属性、支持</w:t>
            </w:r>
            <w:r>
              <w:rPr>
                <w:rFonts w:ascii="仿宋" w:hAnsi="仿宋" w:eastAsia="仿宋"/>
                <w:color w:val="000000"/>
              </w:rPr>
              <w:t>REPLACE INTO</w:t>
            </w:r>
            <w:r>
              <w:rPr>
                <w:rFonts w:hint="eastAsia" w:ascii="仿宋" w:hAnsi="仿宋" w:eastAsia="仿宋"/>
                <w:color w:val="000000"/>
              </w:rPr>
              <w:t>、</w:t>
            </w:r>
            <w:r>
              <w:rPr>
                <w:rFonts w:ascii="仿宋" w:hAnsi="仿宋" w:eastAsia="仿宋"/>
                <w:color w:val="000000"/>
              </w:rPr>
              <w:t>SELECT INTO OUTFILE</w:t>
            </w:r>
            <w:r>
              <w:rPr>
                <w:rFonts w:hint="eastAsia" w:ascii="仿宋" w:hAnsi="仿宋" w:eastAsia="仿宋"/>
                <w:color w:val="000000"/>
              </w:rPr>
              <w:t>、</w:t>
            </w:r>
            <w:r>
              <w:rPr>
                <w:rFonts w:ascii="仿宋" w:hAnsi="仿宋" w:eastAsia="仿宋"/>
                <w:color w:val="000000"/>
              </w:rPr>
              <w:t>DISTINCT</w:t>
            </w:r>
            <w:r>
              <w:rPr>
                <w:rFonts w:hint="eastAsia" w:ascii="仿宋" w:hAnsi="仿宋" w:eastAsia="仿宋"/>
                <w:color w:val="000000"/>
              </w:rPr>
              <w:t>列可使用非</w:t>
            </w:r>
            <w:r>
              <w:rPr>
                <w:rFonts w:ascii="仿宋" w:hAnsi="仿宋" w:eastAsia="仿宋"/>
                <w:color w:val="000000"/>
              </w:rPr>
              <w:t>ORDER BY</w:t>
            </w:r>
            <w:r>
              <w:rPr>
                <w:rFonts w:hint="eastAsia" w:ascii="仿宋" w:hAnsi="仿宋" w:eastAsia="仿宋"/>
                <w:color w:val="000000"/>
              </w:rPr>
              <w:t>列、</w:t>
            </w:r>
            <w:r>
              <w:rPr>
                <w:rFonts w:ascii="仿宋" w:hAnsi="仿宋" w:eastAsia="仿宋"/>
                <w:color w:val="000000"/>
              </w:rPr>
              <w:t>SELECT</w:t>
            </w:r>
            <w:r>
              <w:rPr>
                <w:rFonts w:hint="eastAsia" w:ascii="仿宋" w:hAnsi="仿宋" w:eastAsia="仿宋"/>
                <w:color w:val="000000"/>
              </w:rPr>
              <w:t>字段列表可以使用非</w:t>
            </w:r>
            <w:r>
              <w:rPr>
                <w:rFonts w:ascii="仿宋" w:hAnsi="仿宋" w:eastAsia="仿宋"/>
                <w:color w:val="000000"/>
              </w:rPr>
              <w:t>GROUP BY</w:t>
            </w:r>
            <w:r>
              <w:rPr>
                <w:rFonts w:hint="eastAsia" w:ascii="仿宋" w:hAnsi="仿宋" w:eastAsia="仿宋"/>
                <w:color w:val="000000"/>
              </w:rPr>
              <w:t>列等语法；支持</w:t>
            </w:r>
            <w:r>
              <w:rPr>
                <w:rFonts w:ascii="仿宋" w:hAnsi="仿宋" w:eastAsia="仿宋"/>
                <w:color w:val="000000"/>
              </w:rPr>
              <w:t>CURDATE</w:t>
            </w:r>
            <w:r>
              <w:rPr>
                <w:rFonts w:hint="eastAsia" w:ascii="仿宋" w:hAnsi="仿宋" w:eastAsia="仿宋"/>
                <w:color w:val="000000"/>
              </w:rPr>
              <w:t>、</w:t>
            </w:r>
            <w:r>
              <w:rPr>
                <w:rFonts w:ascii="仿宋" w:hAnsi="仿宋" w:eastAsia="仿宋"/>
                <w:color w:val="000000"/>
              </w:rPr>
              <w:t>DATE_ADD</w:t>
            </w:r>
            <w:r>
              <w:rPr>
                <w:rFonts w:hint="eastAsia" w:ascii="仿宋" w:hAnsi="仿宋" w:eastAsia="仿宋"/>
                <w:color w:val="000000"/>
              </w:rPr>
              <w:t>、</w:t>
            </w:r>
            <w:r>
              <w:rPr>
                <w:rFonts w:ascii="仿宋" w:hAnsi="仿宋" w:eastAsia="仿宋"/>
                <w:color w:val="000000"/>
              </w:rPr>
              <w:t>DATE_FORMAT</w:t>
            </w:r>
            <w:r>
              <w:rPr>
                <w:rFonts w:hint="eastAsia" w:ascii="仿宋" w:hAnsi="仿宋" w:eastAsia="仿宋"/>
                <w:color w:val="000000"/>
              </w:rPr>
              <w:t>、</w:t>
            </w:r>
            <w:r>
              <w:rPr>
                <w:rFonts w:ascii="仿宋" w:hAnsi="仿宋" w:eastAsia="仿宋"/>
                <w:color w:val="000000"/>
              </w:rPr>
              <w:t xml:space="preserve"> DATE_SUB</w:t>
            </w:r>
            <w:r>
              <w:rPr>
                <w:rFonts w:hint="eastAsia" w:ascii="仿宋" w:hAnsi="仿宋" w:eastAsia="仿宋"/>
                <w:color w:val="000000"/>
              </w:rPr>
              <w:t>、</w:t>
            </w:r>
            <w:r>
              <w:rPr>
                <w:rFonts w:ascii="仿宋" w:hAnsi="仿宋" w:eastAsia="仿宋"/>
                <w:color w:val="000000"/>
              </w:rPr>
              <w:t>EXTRACT</w:t>
            </w:r>
            <w:r>
              <w:rPr>
                <w:rFonts w:hint="eastAsia" w:ascii="仿宋" w:hAnsi="仿宋" w:eastAsia="仿宋"/>
                <w:color w:val="000000"/>
              </w:rPr>
              <w:t>、</w:t>
            </w:r>
            <w:r>
              <w:rPr>
                <w:rFonts w:ascii="仿宋" w:hAnsi="仿宋" w:eastAsia="仿宋"/>
                <w:color w:val="000000"/>
              </w:rPr>
              <w:t>MAKEDATE</w:t>
            </w:r>
            <w:r>
              <w:rPr>
                <w:rFonts w:hint="eastAsia" w:ascii="仿宋" w:hAnsi="仿宋" w:eastAsia="仿宋"/>
                <w:color w:val="000000"/>
              </w:rPr>
              <w:t>、</w:t>
            </w:r>
            <w:r>
              <w:rPr>
                <w:rFonts w:ascii="仿宋" w:hAnsi="仿宋" w:eastAsia="仿宋"/>
                <w:color w:val="000000"/>
              </w:rPr>
              <w:t>WEEKOFYEAR</w:t>
            </w:r>
            <w:r>
              <w:rPr>
                <w:rFonts w:hint="eastAsia" w:ascii="仿宋" w:hAnsi="仿宋" w:eastAsia="仿宋"/>
                <w:color w:val="000000"/>
              </w:rPr>
              <w:t>、</w:t>
            </w:r>
            <w:r>
              <w:rPr>
                <w:rFonts w:ascii="仿宋" w:hAnsi="仿宋" w:eastAsia="仿宋"/>
                <w:color w:val="000000"/>
              </w:rPr>
              <w:t>YEARWEEK</w:t>
            </w:r>
            <w:r>
              <w:rPr>
                <w:rFonts w:hint="eastAsia" w:ascii="仿宋" w:hAnsi="仿宋" w:eastAsia="仿宋"/>
                <w:color w:val="000000"/>
              </w:rPr>
              <w:t>、</w:t>
            </w:r>
            <w:r>
              <w:rPr>
                <w:rFonts w:ascii="仿宋" w:hAnsi="仿宋" w:eastAsia="仿宋"/>
                <w:color w:val="000000"/>
              </w:rPr>
              <w:t>MONTH</w:t>
            </w:r>
            <w:r>
              <w:rPr>
                <w:rFonts w:hint="eastAsia" w:ascii="仿宋" w:hAnsi="仿宋" w:eastAsia="仿宋"/>
                <w:color w:val="000000"/>
              </w:rPr>
              <w:t>、</w:t>
            </w:r>
            <w:r>
              <w:rPr>
                <w:rFonts w:ascii="仿宋" w:hAnsi="仿宋" w:eastAsia="仿宋"/>
                <w:color w:val="000000"/>
              </w:rPr>
              <w:t xml:space="preserve">QUARTER </w:t>
            </w:r>
            <w:r>
              <w:rPr>
                <w:rFonts w:hint="eastAsia" w:ascii="仿宋" w:hAnsi="仿宋" w:eastAsia="仿宋"/>
                <w:color w:val="000000"/>
              </w:rPr>
              <w:t>、</w:t>
            </w:r>
            <w:r>
              <w:rPr>
                <w:rFonts w:ascii="仿宋" w:hAnsi="仿宋" w:eastAsia="仿宋"/>
                <w:color w:val="000000"/>
              </w:rPr>
              <w:t>JSON_ARRAY</w:t>
            </w:r>
            <w:r>
              <w:rPr>
                <w:rFonts w:hint="eastAsia" w:ascii="仿宋" w:hAnsi="仿宋" w:eastAsia="仿宋"/>
                <w:color w:val="000000"/>
              </w:rPr>
              <w:t>、</w:t>
            </w:r>
            <w:r>
              <w:rPr>
                <w:rFonts w:ascii="仿宋" w:hAnsi="仿宋" w:eastAsia="仿宋"/>
                <w:color w:val="000000"/>
              </w:rPr>
              <w:t>JSON_CONTAINS</w:t>
            </w:r>
            <w:r>
              <w:rPr>
                <w:rFonts w:hint="eastAsia" w:ascii="仿宋" w:hAnsi="仿宋" w:eastAsia="仿宋"/>
                <w:color w:val="000000"/>
              </w:rPr>
              <w:t>、</w:t>
            </w:r>
            <w:r>
              <w:rPr>
                <w:rFonts w:ascii="仿宋" w:hAnsi="仿宋" w:eastAsia="仿宋"/>
                <w:color w:val="000000"/>
              </w:rPr>
              <w:t>GROUP_CONCAT</w:t>
            </w:r>
            <w:r>
              <w:rPr>
                <w:rFonts w:hint="eastAsia" w:ascii="仿宋" w:hAnsi="仿宋" w:eastAsia="仿宋"/>
                <w:color w:val="000000"/>
              </w:rPr>
              <w:t>、</w:t>
            </w:r>
            <w:r>
              <w:rPr>
                <w:rFonts w:ascii="仿宋" w:hAnsi="仿宋" w:eastAsia="仿宋"/>
                <w:color w:val="000000"/>
              </w:rPr>
              <w:t>ANY_VALUE</w:t>
            </w:r>
            <w:r>
              <w:rPr>
                <w:rFonts w:hint="eastAsia" w:ascii="仿宋" w:hAnsi="仿宋" w:eastAsia="仿宋"/>
                <w:color w:val="000000"/>
              </w:rPr>
              <w:t>函数；支持</w:t>
            </w:r>
            <w:r>
              <w:rPr>
                <w:rFonts w:ascii="仿宋" w:hAnsi="仿宋" w:eastAsia="仿宋"/>
                <w:color w:val="000000"/>
              </w:rPr>
              <w:t>#</w:t>
            </w:r>
            <w:r>
              <w:rPr>
                <w:rFonts w:hint="eastAsia" w:ascii="仿宋" w:hAnsi="仿宋" w:eastAsia="仿宋"/>
                <w:color w:val="000000"/>
              </w:rPr>
              <w:t>符号在</w:t>
            </w:r>
            <w:r>
              <w:rPr>
                <w:rFonts w:ascii="仿宋" w:hAnsi="仿宋" w:eastAsia="仿宋"/>
                <w:color w:val="000000"/>
              </w:rPr>
              <w:t>SQL</w:t>
            </w:r>
            <w:r>
              <w:rPr>
                <w:rFonts w:hint="eastAsia" w:ascii="仿宋" w:hAnsi="仿宋" w:eastAsia="仿宋"/>
                <w:color w:val="000000"/>
              </w:rPr>
              <w:t>语句和存储过程中进行注释；支持</w:t>
            </w:r>
            <w:r>
              <w:rPr>
                <w:rFonts w:ascii="仿宋" w:hAnsi="仿宋" w:eastAsia="仿宋"/>
                <w:color w:val="000000"/>
              </w:rPr>
              <w:t>select @i=expr</w:t>
            </w:r>
            <w:r>
              <w:rPr>
                <w:rFonts w:hint="eastAsia" w:ascii="仿宋" w:hAnsi="仿宋" w:eastAsia="仿宋"/>
                <w:color w:val="000000"/>
              </w:rPr>
              <w:t>方式赋值查询</w:t>
            </w:r>
            <w:r>
              <w:rPr>
                <w:rFonts w:ascii="仿宋" w:hAnsi="仿宋" w:eastAsia="仿宋"/>
                <w:color w:val="000000"/>
              </w:rPr>
              <w:t>;</w:t>
            </w:r>
            <w:r>
              <w:rPr>
                <w:rFonts w:hint="eastAsia" w:ascii="仿宋" w:hAnsi="仿宋" w:eastAsia="仿宋"/>
                <w:color w:val="000000"/>
              </w:rPr>
              <w:t>支持存储过程中使用</w:t>
            </w:r>
            <w:r>
              <w:rPr>
                <w:rFonts w:ascii="仿宋" w:hAnsi="仿宋" w:eastAsia="仿宋"/>
                <w:color w:val="000000"/>
              </w:rPr>
              <w:t>declare handler</w:t>
            </w:r>
            <w:r>
              <w:rPr>
                <w:rFonts w:hint="eastAsia" w:ascii="仿宋" w:hAnsi="仿宋" w:eastAsia="仿宋"/>
                <w:color w:val="000000"/>
              </w:rPr>
              <w:t>语句；支持通过参数设置表名大小写、字段名小大写是否敏感。（提供所有兼容项的操作证明截图，并加盖原厂公章，对该功能的操作做详细步骤说明并承诺在提供的数据库版本上按照操作步骤实现功能效果）</w:t>
            </w:r>
          </w:p>
        </w:tc>
      </w:tr>
      <w:tr w14:paraId="392F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25" w:type="dxa"/>
            <w:vAlign w:val="center"/>
          </w:tcPr>
          <w:p w14:paraId="679BA8D4">
            <w:pPr>
              <w:spacing w:line="312" w:lineRule="auto"/>
              <w:jc w:val="center"/>
              <w:rPr>
                <w:rFonts w:ascii="仿宋" w:hAnsi="仿宋" w:eastAsia="仿宋"/>
                <w:color w:val="000000"/>
              </w:rPr>
            </w:pPr>
            <w:r>
              <w:rPr>
                <w:rFonts w:ascii="仿宋" w:hAnsi="仿宋" w:eastAsia="仿宋"/>
                <w:color w:val="000000"/>
              </w:rPr>
              <w:t>14</w:t>
            </w:r>
          </w:p>
        </w:tc>
        <w:tc>
          <w:tcPr>
            <w:tcW w:w="7923" w:type="dxa"/>
            <w:vAlign w:val="center"/>
          </w:tcPr>
          <w:p w14:paraId="59A8BB89">
            <w:pPr>
              <w:spacing w:line="312" w:lineRule="auto"/>
              <w:jc w:val="both"/>
              <w:rPr>
                <w:rFonts w:ascii="仿宋" w:hAnsi="仿宋" w:eastAsia="仿宋"/>
                <w:color w:val="000000"/>
              </w:rPr>
            </w:pPr>
            <w:r>
              <w:rPr>
                <w:rFonts w:hint="eastAsia" w:ascii="仿宋" w:hAnsi="仿宋" w:eastAsia="仿宋"/>
                <w:color w:val="000000"/>
              </w:rPr>
              <w:t>支持通过</w:t>
            </w:r>
            <w:r>
              <w:rPr>
                <w:rFonts w:ascii="仿宋" w:hAnsi="仿宋" w:eastAsia="仿宋"/>
                <w:color w:val="000000"/>
              </w:rPr>
              <w:t>MySQL</w:t>
            </w:r>
            <w:r>
              <w:rPr>
                <w:rFonts w:hint="eastAsia" w:ascii="仿宋" w:hAnsi="仿宋" w:eastAsia="仿宋"/>
                <w:color w:val="000000"/>
              </w:rPr>
              <w:t>的</w:t>
            </w:r>
            <w:r>
              <w:rPr>
                <w:rFonts w:ascii="仿宋" w:hAnsi="仿宋" w:eastAsia="仿宋"/>
                <w:color w:val="000000"/>
              </w:rPr>
              <w:t>JDBC driver</w:t>
            </w:r>
            <w:r>
              <w:rPr>
                <w:rFonts w:hint="eastAsia" w:ascii="仿宋" w:hAnsi="仿宋" w:eastAsia="仿宋"/>
                <w:color w:val="000000"/>
              </w:rPr>
              <w:t>或者</w:t>
            </w:r>
            <w:r>
              <w:rPr>
                <w:rFonts w:ascii="仿宋" w:hAnsi="仿宋" w:eastAsia="仿宋"/>
                <w:color w:val="000000"/>
              </w:rPr>
              <w:t>MySQL</w:t>
            </w:r>
            <w:r>
              <w:rPr>
                <w:rFonts w:hint="eastAsia" w:ascii="仿宋" w:hAnsi="仿宋" w:eastAsia="仿宋"/>
                <w:color w:val="000000"/>
              </w:rPr>
              <w:t>命令行客户端，直接连接访问数据库。（提供该功能的操作证明截图，并加盖原厂公章）</w:t>
            </w:r>
          </w:p>
        </w:tc>
      </w:tr>
      <w:tr w14:paraId="246E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25" w:type="dxa"/>
            <w:vAlign w:val="center"/>
          </w:tcPr>
          <w:p w14:paraId="66BE67A5">
            <w:pPr>
              <w:spacing w:line="312" w:lineRule="auto"/>
              <w:jc w:val="center"/>
              <w:rPr>
                <w:rFonts w:ascii="仿宋" w:hAnsi="仿宋" w:eastAsia="仿宋"/>
                <w:color w:val="000000"/>
              </w:rPr>
            </w:pPr>
            <w:r>
              <w:rPr>
                <w:rFonts w:ascii="仿宋" w:hAnsi="仿宋" w:eastAsia="仿宋"/>
                <w:color w:val="000000"/>
              </w:rPr>
              <w:t>15</w:t>
            </w:r>
          </w:p>
        </w:tc>
        <w:tc>
          <w:tcPr>
            <w:tcW w:w="7923" w:type="dxa"/>
            <w:vAlign w:val="center"/>
          </w:tcPr>
          <w:p w14:paraId="319B0DD8">
            <w:pPr>
              <w:spacing w:line="312" w:lineRule="auto"/>
              <w:jc w:val="both"/>
              <w:rPr>
                <w:rFonts w:ascii="仿宋" w:hAnsi="仿宋" w:eastAsia="仿宋"/>
                <w:color w:val="000000"/>
              </w:rPr>
            </w:pPr>
            <w:r>
              <w:rPr>
                <w:rFonts w:hint="eastAsia" w:ascii="仿宋" w:hAnsi="仿宋" w:eastAsia="仿宋"/>
                <w:color w:val="000000"/>
              </w:rPr>
              <w:t>过程性语言支持自治事务，包括存储过程、自定义函数、触发器以及匿名块。存储过程支持自治事务的嵌套调用（提供所有兼容项的操作证明截图，并加盖原厂公章）。</w:t>
            </w:r>
          </w:p>
        </w:tc>
      </w:tr>
      <w:tr w14:paraId="2DA9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25" w:type="dxa"/>
            <w:vAlign w:val="center"/>
          </w:tcPr>
          <w:p w14:paraId="4B2163EE">
            <w:pPr>
              <w:spacing w:line="312" w:lineRule="auto"/>
              <w:jc w:val="center"/>
              <w:rPr>
                <w:rFonts w:ascii="仿宋" w:hAnsi="仿宋" w:eastAsia="仿宋"/>
                <w:color w:val="000000"/>
              </w:rPr>
            </w:pPr>
            <w:r>
              <w:rPr>
                <w:rFonts w:ascii="仿宋" w:hAnsi="仿宋" w:eastAsia="仿宋"/>
                <w:color w:val="000000"/>
              </w:rPr>
              <w:t>16</w:t>
            </w:r>
          </w:p>
        </w:tc>
        <w:tc>
          <w:tcPr>
            <w:tcW w:w="7923" w:type="dxa"/>
            <w:vAlign w:val="center"/>
          </w:tcPr>
          <w:p w14:paraId="5B036E43">
            <w:pPr>
              <w:spacing w:line="312" w:lineRule="auto"/>
              <w:jc w:val="both"/>
              <w:rPr>
                <w:rFonts w:ascii="仿宋" w:hAnsi="仿宋" w:eastAsia="仿宋"/>
                <w:color w:val="000000"/>
              </w:rPr>
            </w:pPr>
            <w:r>
              <w:rPr>
                <w:rFonts w:hint="eastAsia" w:ascii="仿宋" w:hAnsi="仿宋" w:eastAsia="仿宋"/>
                <w:color w:val="000000"/>
              </w:rPr>
              <w:t>支持系统性能监控动态视图，</w:t>
            </w:r>
            <w:r>
              <w:rPr>
                <w:rFonts w:ascii="仿宋" w:hAnsi="仿宋" w:eastAsia="仿宋"/>
                <w:color w:val="000000"/>
              </w:rPr>
              <w:t>TOP SQL</w:t>
            </w:r>
            <w:r>
              <w:rPr>
                <w:rFonts w:hint="eastAsia" w:ascii="仿宋" w:hAnsi="仿宋" w:eastAsia="仿宋"/>
                <w:color w:val="000000"/>
              </w:rPr>
              <w:t>信息、内存管理信息、事务信息、线程信息、操作历史等信息；</w:t>
            </w:r>
          </w:p>
        </w:tc>
      </w:tr>
      <w:tr w14:paraId="1B95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025" w:type="dxa"/>
            <w:vAlign w:val="center"/>
          </w:tcPr>
          <w:p w14:paraId="692F3C5A">
            <w:pPr>
              <w:spacing w:line="312" w:lineRule="auto"/>
              <w:jc w:val="center"/>
              <w:rPr>
                <w:rFonts w:ascii="仿宋" w:hAnsi="仿宋" w:eastAsia="仿宋"/>
                <w:color w:val="000000"/>
              </w:rPr>
            </w:pPr>
            <w:r>
              <w:rPr>
                <w:rFonts w:ascii="仿宋" w:hAnsi="仿宋" w:eastAsia="仿宋"/>
                <w:color w:val="000000"/>
              </w:rPr>
              <w:t>17</w:t>
            </w:r>
          </w:p>
        </w:tc>
        <w:tc>
          <w:tcPr>
            <w:tcW w:w="7923" w:type="dxa"/>
            <w:vAlign w:val="center"/>
          </w:tcPr>
          <w:p w14:paraId="542B48D2">
            <w:pPr>
              <w:spacing w:line="312" w:lineRule="auto"/>
              <w:jc w:val="both"/>
              <w:rPr>
                <w:rFonts w:ascii="仿宋" w:hAnsi="仿宋" w:eastAsia="仿宋"/>
                <w:color w:val="000000"/>
              </w:rPr>
            </w:pPr>
            <w:r>
              <w:rPr>
                <w:rFonts w:hint="eastAsia" w:ascii="仿宋" w:hAnsi="仿宋" w:eastAsia="仿宋"/>
                <w:color w:val="000000"/>
              </w:rPr>
              <w:t>支持基于成本的全局优化功能，实现基于成本的查询机制，能够选择合适的查询计划；数据库内核支持并行查询技术，且能够完全自动化启动并行查询，无需人工启动或干预（提供所有兼容项的操作证明截图，并加盖原厂公章）；</w:t>
            </w:r>
          </w:p>
        </w:tc>
      </w:tr>
      <w:tr w14:paraId="5B1E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25" w:type="dxa"/>
            <w:vAlign w:val="center"/>
          </w:tcPr>
          <w:p w14:paraId="53F62D91">
            <w:pPr>
              <w:spacing w:line="312" w:lineRule="auto"/>
              <w:jc w:val="center"/>
              <w:rPr>
                <w:rFonts w:ascii="仿宋" w:hAnsi="仿宋" w:eastAsia="仿宋"/>
                <w:color w:val="000000"/>
              </w:rPr>
            </w:pPr>
            <w:r>
              <w:rPr>
                <w:rFonts w:ascii="仿宋" w:hAnsi="仿宋" w:eastAsia="仿宋"/>
                <w:color w:val="000000"/>
              </w:rPr>
              <w:t>18</w:t>
            </w:r>
          </w:p>
        </w:tc>
        <w:tc>
          <w:tcPr>
            <w:tcW w:w="7923" w:type="dxa"/>
            <w:vAlign w:val="center"/>
          </w:tcPr>
          <w:p w14:paraId="263F07E4">
            <w:pPr>
              <w:spacing w:line="312" w:lineRule="auto"/>
              <w:jc w:val="both"/>
              <w:rPr>
                <w:rFonts w:ascii="仿宋" w:hAnsi="仿宋" w:eastAsia="仿宋"/>
                <w:color w:val="000000"/>
              </w:rPr>
            </w:pPr>
            <w:r>
              <w:rPr>
                <w:rFonts w:hint="eastAsia" w:ascii="仿宋" w:hAnsi="仿宋" w:eastAsia="仿宋"/>
                <w:color w:val="000000"/>
              </w:rPr>
              <w:t>★内置内存引擎，是真正的存储引擎，可通过简单操作语句直接指定是否启用内存引擎。能够实现在同一个实例中内存表跟普通的磁盘表的共存，内存表支持</w:t>
            </w:r>
            <w:r>
              <w:rPr>
                <w:rFonts w:ascii="仿宋" w:hAnsi="仿宋" w:eastAsia="仿宋"/>
                <w:color w:val="000000"/>
              </w:rPr>
              <w:t>ACID</w:t>
            </w:r>
            <w:r>
              <w:rPr>
                <w:rFonts w:hint="eastAsia" w:ascii="仿宋" w:hAnsi="仿宋" w:eastAsia="仿宋"/>
                <w:color w:val="000000"/>
              </w:rPr>
              <w:t>、常用</w:t>
            </w:r>
            <w:r>
              <w:rPr>
                <w:rFonts w:ascii="仿宋" w:hAnsi="仿宋" w:eastAsia="仿宋"/>
                <w:color w:val="000000"/>
              </w:rPr>
              <w:t>SQL</w:t>
            </w:r>
            <w:r>
              <w:rPr>
                <w:rFonts w:hint="eastAsia" w:ascii="仿宋" w:hAnsi="仿宋" w:eastAsia="仿宋"/>
                <w:color w:val="000000"/>
              </w:rPr>
              <w:t>语法、存储过程和数据持久化等功能特性，针对内存表支持使用</w:t>
            </w:r>
            <w:r>
              <w:rPr>
                <w:rFonts w:ascii="仿宋" w:hAnsi="仿宋" w:eastAsia="仿宋"/>
                <w:color w:val="000000"/>
              </w:rPr>
              <w:t>PREPARE</w:t>
            </w:r>
            <w:r>
              <w:rPr>
                <w:rFonts w:hint="eastAsia" w:ascii="仿宋" w:hAnsi="仿宋" w:eastAsia="仿宋"/>
                <w:color w:val="000000"/>
              </w:rPr>
              <w:t>语句的查询原生编译。</w:t>
            </w:r>
            <w:r>
              <w:rPr>
                <w:rFonts w:ascii="仿宋" w:hAnsi="仿宋" w:eastAsia="仿宋"/>
                <w:color w:val="000000"/>
              </w:rPr>
              <w:t>(</w:t>
            </w:r>
            <w:r>
              <w:rPr>
                <w:rFonts w:hint="eastAsia" w:ascii="仿宋" w:hAnsi="仿宋" w:eastAsia="仿宋"/>
                <w:color w:val="000000"/>
              </w:rPr>
              <w:t>创建内存表功能、</w:t>
            </w:r>
            <w:r>
              <w:rPr>
                <w:rFonts w:ascii="仿宋" w:hAnsi="仿宋" w:eastAsia="仿宋"/>
                <w:color w:val="000000"/>
              </w:rPr>
              <w:t xml:space="preserve"> </w:t>
            </w:r>
            <w:r>
              <w:rPr>
                <w:rFonts w:hint="eastAsia" w:ascii="仿宋" w:hAnsi="仿宋" w:eastAsia="仿宋"/>
                <w:color w:val="000000"/>
              </w:rPr>
              <w:t>内存表支持</w:t>
            </w:r>
            <w:r>
              <w:rPr>
                <w:rFonts w:ascii="仿宋" w:hAnsi="仿宋" w:eastAsia="仿宋"/>
                <w:color w:val="000000"/>
              </w:rPr>
              <w:t>ACID</w:t>
            </w:r>
            <w:r>
              <w:rPr>
                <w:rFonts w:hint="eastAsia" w:ascii="仿宋" w:hAnsi="仿宋" w:eastAsia="仿宋"/>
                <w:color w:val="000000"/>
              </w:rPr>
              <w:t>、常用</w:t>
            </w:r>
            <w:r>
              <w:rPr>
                <w:rFonts w:ascii="仿宋" w:hAnsi="仿宋" w:eastAsia="仿宋"/>
                <w:color w:val="000000"/>
              </w:rPr>
              <w:t>SQL</w:t>
            </w:r>
            <w:r>
              <w:rPr>
                <w:rFonts w:hint="eastAsia" w:ascii="仿宋" w:hAnsi="仿宋" w:eastAsia="仿宋"/>
                <w:color w:val="000000"/>
              </w:rPr>
              <w:t>语法、数据持久化需提供操作截图，并加盖原厂公章）</w:t>
            </w:r>
          </w:p>
        </w:tc>
      </w:tr>
      <w:tr w14:paraId="1AEC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8" w:hRule="atLeast"/>
        </w:trPr>
        <w:tc>
          <w:tcPr>
            <w:tcW w:w="1025" w:type="dxa"/>
            <w:vAlign w:val="center"/>
          </w:tcPr>
          <w:p w14:paraId="3CE51707">
            <w:pPr>
              <w:spacing w:line="312" w:lineRule="auto"/>
              <w:jc w:val="center"/>
              <w:rPr>
                <w:rFonts w:ascii="仿宋" w:hAnsi="仿宋" w:eastAsia="仿宋"/>
                <w:color w:val="000000"/>
              </w:rPr>
            </w:pPr>
            <w:r>
              <w:rPr>
                <w:rFonts w:ascii="仿宋" w:hAnsi="仿宋" w:eastAsia="仿宋"/>
                <w:color w:val="000000"/>
              </w:rPr>
              <w:t>19</w:t>
            </w:r>
          </w:p>
        </w:tc>
        <w:tc>
          <w:tcPr>
            <w:tcW w:w="7923" w:type="dxa"/>
            <w:vAlign w:val="center"/>
          </w:tcPr>
          <w:p w14:paraId="3BB1468D">
            <w:pPr>
              <w:spacing w:line="312" w:lineRule="auto"/>
              <w:jc w:val="both"/>
              <w:rPr>
                <w:rFonts w:ascii="仿宋" w:hAnsi="仿宋" w:eastAsia="仿宋"/>
                <w:color w:val="000000"/>
              </w:rPr>
            </w:pPr>
            <w:r>
              <w:rPr>
                <w:rFonts w:hint="eastAsia" w:ascii="仿宋" w:hAnsi="仿宋" w:eastAsia="仿宋"/>
                <w:color w:val="000000"/>
              </w:rPr>
              <w:t>提供专业的迁移工具，支持</w:t>
            </w:r>
            <w:r>
              <w:rPr>
                <w:rFonts w:ascii="仿宋" w:hAnsi="仿宋" w:eastAsia="仿宋"/>
                <w:color w:val="000000"/>
              </w:rPr>
              <w:t>B/S</w:t>
            </w:r>
            <w:r>
              <w:rPr>
                <w:rFonts w:hint="eastAsia" w:ascii="仿宋" w:hAnsi="仿宋" w:eastAsia="仿宋"/>
                <w:color w:val="000000"/>
              </w:rPr>
              <w:t>部署模式，允许设置不同的用户、角色，可多人同时登录执行迁移相关工作。迁移工具需具备评估、自动转换、迁移、数据校验等核心能力，至少支持</w:t>
            </w:r>
            <w:r>
              <w:rPr>
                <w:rFonts w:ascii="仿宋" w:hAnsi="仿宋" w:eastAsia="仿宋"/>
                <w:color w:val="000000"/>
              </w:rPr>
              <w:t>Oracle</w:t>
            </w:r>
            <w:r>
              <w:rPr>
                <w:rFonts w:hint="eastAsia" w:ascii="仿宋" w:hAnsi="仿宋" w:eastAsia="仿宋"/>
                <w:color w:val="000000"/>
              </w:rPr>
              <w:t>、</w:t>
            </w:r>
            <w:r>
              <w:rPr>
                <w:rFonts w:ascii="仿宋" w:hAnsi="仿宋" w:eastAsia="仿宋"/>
                <w:color w:val="000000"/>
              </w:rPr>
              <w:t>MySQL</w:t>
            </w:r>
            <w:r>
              <w:rPr>
                <w:rFonts w:hint="eastAsia" w:ascii="仿宋" w:hAnsi="仿宋" w:eastAsia="仿宋"/>
                <w:color w:val="000000"/>
              </w:rPr>
              <w:t>、</w:t>
            </w:r>
            <w:r>
              <w:rPr>
                <w:rFonts w:ascii="仿宋" w:hAnsi="仿宋" w:eastAsia="仿宋"/>
                <w:color w:val="000000"/>
              </w:rPr>
              <w:t>SQL SERVER</w:t>
            </w:r>
            <w:r>
              <w:rPr>
                <w:rFonts w:hint="eastAsia" w:ascii="仿宋" w:hAnsi="仿宋" w:eastAsia="仿宋"/>
                <w:color w:val="000000"/>
              </w:rPr>
              <w:t>、</w:t>
            </w:r>
            <w:r>
              <w:rPr>
                <w:rFonts w:ascii="仿宋" w:hAnsi="仿宋" w:eastAsia="仿宋"/>
                <w:color w:val="000000"/>
              </w:rPr>
              <w:t>DB2</w:t>
            </w:r>
            <w:r>
              <w:rPr>
                <w:rFonts w:hint="eastAsia" w:ascii="仿宋" w:hAnsi="仿宋" w:eastAsia="仿宋"/>
                <w:color w:val="000000"/>
              </w:rPr>
              <w:t>、</w:t>
            </w:r>
            <w:r>
              <w:rPr>
                <w:rFonts w:ascii="仿宋" w:hAnsi="仿宋" w:eastAsia="仿宋"/>
                <w:color w:val="000000"/>
              </w:rPr>
              <w:t>JDBC</w:t>
            </w:r>
            <w:r>
              <w:rPr>
                <w:rFonts w:hint="eastAsia" w:ascii="仿宋" w:hAnsi="仿宋" w:eastAsia="仿宋"/>
                <w:color w:val="000000"/>
              </w:rPr>
              <w:t>、</w:t>
            </w:r>
            <w:r>
              <w:rPr>
                <w:rFonts w:ascii="仿宋" w:hAnsi="仿宋" w:eastAsia="仿宋"/>
                <w:color w:val="000000"/>
              </w:rPr>
              <w:t xml:space="preserve">Kafka </w:t>
            </w:r>
            <w:r>
              <w:rPr>
                <w:rFonts w:hint="eastAsia" w:ascii="仿宋" w:hAnsi="仿宋" w:eastAsia="仿宋"/>
                <w:color w:val="000000"/>
              </w:rPr>
              <w:t>作为数据源；支持对数据库结构信息、存储过程以及应用</w:t>
            </w:r>
            <w:r>
              <w:rPr>
                <w:rFonts w:ascii="仿宋" w:hAnsi="仿宋" w:eastAsia="仿宋"/>
                <w:color w:val="000000"/>
              </w:rPr>
              <w:t>SQL</w:t>
            </w:r>
            <w:r>
              <w:rPr>
                <w:rFonts w:hint="eastAsia" w:ascii="仿宋" w:hAnsi="仿宋" w:eastAsia="仿宋"/>
                <w:color w:val="000000"/>
              </w:rPr>
              <w:t>进行兼容性评估分析，生成的评估报告，可预估迁移人工改造工作量、可以提供</w:t>
            </w:r>
            <w:r>
              <w:rPr>
                <w:rFonts w:ascii="仿宋" w:hAnsi="仿宋" w:eastAsia="仿宋"/>
                <w:color w:val="000000"/>
              </w:rPr>
              <w:t>SQL</w:t>
            </w:r>
            <w:r>
              <w:rPr>
                <w:rFonts w:hint="eastAsia" w:ascii="仿宋" w:hAnsi="仿宋" w:eastAsia="仿宋"/>
                <w:color w:val="000000"/>
              </w:rPr>
              <w:t>语句的改造建议、支持通过扫描</w:t>
            </w:r>
            <w:r>
              <w:rPr>
                <w:rFonts w:ascii="仿宋" w:hAnsi="仿宋" w:eastAsia="仿宋"/>
                <w:color w:val="000000"/>
              </w:rPr>
              <w:t>MyBatis</w:t>
            </w:r>
            <w:r>
              <w:rPr>
                <w:rFonts w:hint="eastAsia" w:ascii="仿宋" w:hAnsi="仿宋" w:eastAsia="仿宋"/>
                <w:color w:val="000000"/>
              </w:rPr>
              <w:t>的</w:t>
            </w:r>
            <w:r>
              <w:rPr>
                <w:rFonts w:ascii="仿宋" w:hAnsi="仿宋" w:eastAsia="仿宋"/>
                <w:color w:val="000000"/>
              </w:rPr>
              <w:t>mapper</w:t>
            </w:r>
            <w:r>
              <w:rPr>
                <w:rFonts w:hint="eastAsia" w:ascii="仿宋" w:hAnsi="仿宋" w:eastAsia="仿宋"/>
                <w:color w:val="000000"/>
              </w:rPr>
              <w:t>文件进行兼容性评估；支持数据库对象</w:t>
            </w:r>
            <w:r>
              <w:rPr>
                <w:rFonts w:ascii="仿宋" w:hAnsi="仿宋" w:eastAsia="仿宋"/>
                <w:color w:val="000000"/>
              </w:rPr>
              <w:t>DDL</w:t>
            </w:r>
            <w:r>
              <w:rPr>
                <w:rFonts w:hint="eastAsia" w:ascii="仿宋" w:hAnsi="仿宋" w:eastAsia="仿宋"/>
                <w:color w:val="000000"/>
              </w:rPr>
              <w:t>自动转换、包括存储过程和自定义函数的自动改写、编码转换、特殊字符自动处理等；迁移完毕后，可针对表验包括数据行数和数据内容的一致性；迁移工具需提供全图形化操作界面，在评估或迁移任务有进度条和百分比显示、提供图形界面设置单批次数据迁移抽取的行的数量、并行度、自定义迁移规则、集中批量的迁移规则定义为迁移模板；迁移工具需支持全量迁移、增量迁移。同时支持目标数据库到到源数据库的反向增量迁移；支持在线手工改写。（提供操作截图，并加盖原厂公章）</w:t>
            </w:r>
          </w:p>
        </w:tc>
      </w:tr>
      <w:tr w14:paraId="03F3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25" w:type="dxa"/>
            <w:vAlign w:val="center"/>
          </w:tcPr>
          <w:p w14:paraId="7C5EC746">
            <w:pPr>
              <w:spacing w:line="312" w:lineRule="auto"/>
              <w:jc w:val="center"/>
              <w:rPr>
                <w:rFonts w:ascii="仿宋" w:hAnsi="仿宋" w:eastAsia="仿宋"/>
                <w:color w:val="000000"/>
              </w:rPr>
            </w:pPr>
            <w:r>
              <w:rPr>
                <w:rFonts w:ascii="仿宋" w:hAnsi="仿宋" w:eastAsia="仿宋"/>
                <w:color w:val="000000"/>
              </w:rPr>
              <w:t>20</w:t>
            </w:r>
          </w:p>
        </w:tc>
        <w:tc>
          <w:tcPr>
            <w:tcW w:w="7923" w:type="dxa"/>
            <w:vAlign w:val="center"/>
          </w:tcPr>
          <w:p w14:paraId="5B0FB081">
            <w:pPr>
              <w:spacing w:line="312" w:lineRule="auto"/>
              <w:jc w:val="both"/>
              <w:rPr>
                <w:rFonts w:ascii="仿宋" w:hAnsi="仿宋" w:eastAsia="仿宋"/>
                <w:color w:val="000000"/>
              </w:rPr>
            </w:pPr>
            <w:r>
              <w:rPr>
                <w:rFonts w:hint="eastAsia" w:ascii="仿宋" w:hAnsi="仿宋" w:eastAsia="仿宋"/>
                <w:color w:val="000000"/>
              </w:rPr>
              <w:t>支持创建表分区，包括</w:t>
            </w:r>
            <w:r>
              <w:rPr>
                <w:rFonts w:ascii="仿宋" w:hAnsi="仿宋" w:eastAsia="仿宋"/>
                <w:color w:val="000000"/>
              </w:rPr>
              <w:t>Range</w:t>
            </w:r>
            <w:r>
              <w:rPr>
                <w:rFonts w:hint="eastAsia" w:ascii="仿宋" w:hAnsi="仿宋" w:eastAsia="仿宋"/>
                <w:color w:val="000000"/>
              </w:rPr>
              <w:t>分区表、</w:t>
            </w:r>
            <w:r>
              <w:rPr>
                <w:rFonts w:ascii="仿宋" w:hAnsi="仿宋" w:eastAsia="仿宋"/>
                <w:color w:val="000000"/>
              </w:rPr>
              <w:t>List</w:t>
            </w:r>
            <w:r>
              <w:rPr>
                <w:rFonts w:hint="eastAsia" w:ascii="仿宋" w:hAnsi="仿宋" w:eastAsia="仿宋"/>
                <w:color w:val="000000"/>
              </w:rPr>
              <w:t>分区表、</w:t>
            </w:r>
            <w:r>
              <w:rPr>
                <w:rFonts w:ascii="仿宋" w:hAnsi="仿宋" w:eastAsia="仿宋"/>
                <w:color w:val="000000"/>
              </w:rPr>
              <w:t>Hash</w:t>
            </w:r>
            <w:r>
              <w:rPr>
                <w:rFonts w:hint="eastAsia" w:ascii="仿宋" w:hAnsi="仿宋" w:eastAsia="仿宋"/>
                <w:color w:val="000000"/>
              </w:rPr>
              <w:t>分区表、</w:t>
            </w:r>
            <w:r>
              <w:rPr>
                <w:rFonts w:ascii="仿宋" w:hAnsi="仿宋" w:eastAsia="仿宋"/>
                <w:color w:val="000000"/>
              </w:rPr>
              <w:t>system</w:t>
            </w:r>
            <w:r>
              <w:rPr>
                <w:rFonts w:hint="eastAsia" w:ascii="仿宋" w:hAnsi="仿宋" w:eastAsia="仿宋"/>
                <w:color w:val="000000"/>
              </w:rPr>
              <w:t>分区表和</w:t>
            </w:r>
            <w:r>
              <w:rPr>
                <w:rFonts w:ascii="仿宋" w:hAnsi="仿宋" w:eastAsia="仿宋"/>
                <w:color w:val="000000"/>
              </w:rPr>
              <w:t>Interval</w:t>
            </w:r>
            <w:r>
              <w:rPr>
                <w:rFonts w:hint="eastAsia" w:ascii="仿宋" w:hAnsi="仿宋" w:eastAsia="仿宋"/>
                <w:color w:val="000000"/>
              </w:rPr>
              <w:t>分区表，支持两级分区方式、支持分区交换技术。</w:t>
            </w:r>
          </w:p>
        </w:tc>
      </w:tr>
      <w:tr w14:paraId="142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25" w:type="dxa"/>
            <w:vAlign w:val="center"/>
          </w:tcPr>
          <w:p w14:paraId="22A85D26">
            <w:pPr>
              <w:spacing w:line="312" w:lineRule="auto"/>
              <w:jc w:val="center"/>
              <w:rPr>
                <w:rFonts w:ascii="仿宋" w:hAnsi="仿宋" w:eastAsia="仿宋"/>
                <w:color w:val="000000"/>
              </w:rPr>
            </w:pPr>
            <w:r>
              <w:rPr>
                <w:rFonts w:ascii="仿宋" w:hAnsi="仿宋" w:eastAsia="仿宋"/>
                <w:color w:val="000000"/>
              </w:rPr>
              <w:t>21</w:t>
            </w:r>
          </w:p>
        </w:tc>
        <w:tc>
          <w:tcPr>
            <w:tcW w:w="7923" w:type="dxa"/>
            <w:vAlign w:val="center"/>
          </w:tcPr>
          <w:p w14:paraId="300A3F5E">
            <w:pPr>
              <w:spacing w:line="312" w:lineRule="auto"/>
              <w:jc w:val="both"/>
              <w:rPr>
                <w:rFonts w:ascii="仿宋" w:hAnsi="仿宋" w:eastAsia="仿宋"/>
                <w:color w:val="000000"/>
              </w:rPr>
            </w:pPr>
            <w:r>
              <w:rPr>
                <w:rFonts w:hint="eastAsia" w:ascii="仿宋" w:hAnsi="仿宋" w:eastAsia="仿宋"/>
                <w:color w:val="000000"/>
              </w:rPr>
              <w:t>★基于数据库内核本身，不通过插件或第三方如软件即可实现在同一数据库实例中，同时支持行存表和列存表，可通过查看表详情或内置视图明确该表属于行存还是列存形态。在同一个事务中，可分别对行存表和列存表进行增删改查操作，并且支持将行存表与列存表进行多表关联查询操作。</w:t>
            </w:r>
            <w:r>
              <w:rPr>
                <w:rFonts w:ascii="仿宋" w:hAnsi="仿宋" w:eastAsia="仿宋"/>
                <w:color w:val="000000"/>
              </w:rPr>
              <w:t>(</w:t>
            </w:r>
            <w:r>
              <w:rPr>
                <w:rFonts w:hint="eastAsia" w:ascii="仿宋" w:hAnsi="仿宋" w:eastAsia="仿宋"/>
                <w:color w:val="000000"/>
              </w:rPr>
              <w:t>该功能需提供操作截图，并加盖原厂公章）</w:t>
            </w:r>
          </w:p>
        </w:tc>
      </w:tr>
      <w:tr w14:paraId="0582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025" w:type="dxa"/>
            <w:vAlign w:val="center"/>
          </w:tcPr>
          <w:p w14:paraId="386C5A7A">
            <w:pPr>
              <w:spacing w:line="312" w:lineRule="auto"/>
              <w:jc w:val="center"/>
              <w:rPr>
                <w:rFonts w:ascii="仿宋" w:hAnsi="仿宋" w:eastAsia="仿宋"/>
                <w:color w:val="000000"/>
              </w:rPr>
            </w:pPr>
            <w:r>
              <w:rPr>
                <w:rFonts w:ascii="仿宋" w:hAnsi="仿宋" w:eastAsia="仿宋"/>
                <w:color w:val="000000"/>
              </w:rPr>
              <w:t>22</w:t>
            </w:r>
          </w:p>
        </w:tc>
        <w:tc>
          <w:tcPr>
            <w:tcW w:w="7923" w:type="dxa"/>
            <w:vAlign w:val="center"/>
          </w:tcPr>
          <w:p w14:paraId="2FD7D13D">
            <w:pPr>
              <w:spacing w:line="312" w:lineRule="auto"/>
              <w:jc w:val="both"/>
              <w:rPr>
                <w:rFonts w:ascii="仿宋" w:hAnsi="仿宋" w:eastAsia="仿宋"/>
                <w:color w:val="000000"/>
              </w:rPr>
            </w:pPr>
            <w:r>
              <w:rPr>
                <w:rFonts w:hint="eastAsia" w:ascii="仿宋" w:hAnsi="仿宋" w:eastAsia="仿宋"/>
                <w:color w:val="000000"/>
              </w:rPr>
              <w:t>可支持不止一种的多版本并发控制（</w:t>
            </w:r>
            <w:r>
              <w:rPr>
                <w:rFonts w:ascii="仿宋" w:hAnsi="仿宋" w:eastAsia="仿宋"/>
                <w:color w:val="000000"/>
              </w:rPr>
              <w:t>MVCC</w:t>
            </w:r>
            <w:r>
              <w:rPr>
                <w:rFonts w:hint="eastAsia" w:ascii="仿宋" w:hAnsi="仿宋" w:eastAsia="仿宋"/>
                <w:color w:val="000000"/>
              </w:rPr>
              <w:t>）机制，同一行的数据记录经过事务的修改，新老数据记录根据所选的机制不同，可存放在表的同一页面中，或者新数据存在表数据页中、老数据存放在专用的回滚空间中</w:t>
            </w:r>
            <w:r>
              <w:rPr>
                <w:rFonts w:ascii="仿宋" w:hAnsi="仿宋" w:eastAsia="仿宋"/>
                <w:color w:val="000000"/>
              </w:rPr>
              <w:t xml:space="preserve">. </w:t>
            </w:r>
            <w:r>
              <w:rPr>
                <w:rFonts w:hint="eastAsia" w:ascii="仿宋" w:hAnsi="仿宋" w:eastAsia="仿宋"/>
                <w:color w:val="000000"/>
              </w:rPr>
              <w:t>多种</w:t>
            </w:r>
            <w:r>
              <w:rPr>
                <w:rFonts w:ascii="仿宋" w:hAnsi="仿宋" w:eastAsia="仿宋"/>
                <w:color w:val="000000"/>
              </w:rPr>
              <w:t>MVCC</w:t>
            </w:r>
            <w:r>
              <w:rPr>
                <w:rFonts w:hint="eastAsia" w:ascii="仿宋" w:hAnsi="仿宋" w:eastAsia="仿宋"/>
                <w:color w:val="000000"/>
              </w:rPr>
              <w:t>机制可以更好的适应不同的业务场景</w:t>
            </w:r>
          </w:p>
        </w:tc>
      </w:tr>
      <w:tr w14:paraId="7504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25" w:type="dxa"/>
            <w:vAlign w:val="center"/>
          </w:tcPr>
          <w:p w14:paraId="08C94455">
            <w:pPr>
              <w:spacing w:line="312" w:lineRule="auto"/>
              <w:jc w:val="center"/>
              <w:rPr>
                <w:rFonts w:ascii="仿宋" w:hAnsi="仿宋" w:eastAsia="仿宋"/>
                <w:color w:val="000000"/>
              </w:rPr>
            </w:pPr>
            <w:r>
              <w:rPr>
                <w:rFonts w:ascii="仿宋" w:hAnsi="仿宋" w:eastAsia="仿宋"/>
                <w:color w:val="000000"/>
              </w:rPr>
              <w:t>23</w:t>
            </w:r>
          </w:p>
        </w:tc>
        <w:tc>
          <w:tcPr>
            <w:tcW w:w="7923" w:type="dxa"/>
            <w:vAlign w:val="center"/>
          </w:tcPr>
          <w:p w14:paraId="2C4F307F">
            <w:pPr>
              <w:spacing w:line="312" w:lineRule="auto"/>
              <w:jc w:val="both"/>
              <w:rPr>
                <w:rFonts w:ascii="仿宋" w:hAnsi="仿宋" w:eastAsia="仿宋"/>
                <w:color w:val="000000"/>
              </w:rPr>
            </w:pPr>
            <w:r>
              <w:rPr>
                <w:rFonts w:hint="eastAsia" w:ascii="仿宋" w:hAnsi="仿宋" w:eastAsia="仿宋"/>
                <w:color w:val="000000"/>
              </w:rPr>
              <w:t>支持表压缩功能，能够分别支持行存表压缩和列存表压缩（提供操作截图，并加盖原厂公章）</w:t>
            </w:r>
          </w:p>
        </w:tc>
      </w:tr>
      <w:tr w14:paraId="173C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025" w:type="dxa"/>
            <w:vAlign w:val="center"/>
          </w:tcPr>
          <w:p w14:paraId="3D43499C">
            <w:pPr>
              <w:spacing w:line="312" w:lineRule="auto"/>
              <w:jc w:val="center"/>
              <w:rPr>
                <w:rFonts w:ascii="仿宋" w:hAnsi="仿宋" w:eastAsia="仿宋"/>
                <w:color w:val="000000"/>
              </w:rPr>
            </w:pPr>
            <w:r>
              <w:rPr>
                <w:rFonts w:ascii="仿宋" w:hAnsi="仿宋" w:eastAsia="仿宋"/>
                <w:color w:val="000000"/>
              </w:rPr>
              <w:t>24</w:t>
            </w:r>
          </w:p>
        </w:tc>
        <w:tc>
          <w:tcPr>
            <w:tcW w:w="7923" w:type="dxa"/>
            <w:vAlign w:val="center"/>
          </w:tcPr>
          <w:p w14:paraId="596BCA4D">
            <w:pPr>
              <w:spacing w:line="312" w:lineRule="auto"/>
              <w:jc w:val="both"/>
              <w:rPr>
                <w:rFonts w:ascii="仿宋" w:hAnsi="仿宋" w:eastAsia="仿宋"/>
                <w:color w:val="000000"/>
              </w:rPr>
            </w:pPr>
            <w:r>
              <w:rPr>
                <w:rFonts w:hint="eastAsia" w:ascii="仿宋" w:hAnsi="仿宋" w:eastAsia="仿宋"/>
                <w:color w:val="000000"/>
              </w:rPr>
              <w:t>★支持</w:t>
            </w:r>
            <w:r>
              <w:rPr>
                <w:rFonts w:ascii="仿宋" w:hAnsi="仿宋" w:eastAsia="仿宋"/>
                <w:color w:val="000000"/>
              </w:rPr>
              <w:t>AI</w:t>
            </w:r>
            <w:r>
              <w:rPr>
                <w:rFonts w:hint="eastAsia" w:ascii="仿宋" w:hAnsi="仿宋" w:eastAsia="仿宋"/>
                <w:color w:val="000000"/>
              </w:rPr>
              <w:t>功能</w:t>
            </w:r>
            <w:r>
              <w:rPr>
                <w:rFonts w:ascii="仿宋" w:hAnsi="仿宋" w:eastAsia="仿宋"/>
                <w:color w:val="000000"/>
              </w:rPr>
              <w:t>,</w:t>
            </w:r>
            <w:r>
              <w:rPr>
                <w:rFonts w:hint="eastAsia" w:ascii="仿宋" w:hAnsi="仿宋" w:eastAsia="仿宋"/>
                <w:color w:val="000000"/>
              </w:rPr>
              <w:t>通过结合深度强化学习和全局搜索算法等</w:t>
            </w:r>
            <w:r>
              <w:rPr>
                <w:rFonts w:ascii="仿宋" w:hAnsi="仿宋" w:eastAsia="仿宋"/>
                <w:color w:val="000000"/>
              </w:rPr>
              <w:t>AI</w:t>
            </w:r>
            <w:r>
              <w:rPr>
                <w:rFonts w:hint="eastAsia" w:ascii="仿宋" w:hAnsi="仿宋" w:eastAsia="仿宋"/>
                <w:color w:val="000000"/>
              </w:rPr>
              <w:t>技术，实现在无需人工干预的情况下，获取最佳数据库参数配置。</w:t>
            </w:r>
            <w:r>
              <w:rPr>
                <w:rFonts w:ascii="仿宋" w:hAnsi="仿宋" w:eastAsia="仿宋"/>
                <w:color w:val="000000"/>
              </w:rPr>
              <w:t xml:space="preserve"> </w:t>
            </w:r>
            <w:r>
              <w:rPr>
                <w:rFonts w:ascii="仿宋" w:hAnsi="仿宋" w:eastAsia="仿宋"/>
                <w:color w:val="000000"/>
              </w:rPr>
              <w:br w:type="textWrapping"/>
            </w:r>
            <w:r>
              <w:rPr>
                <w:rFonts w:hint="eastAsia" w:ascii="仿宋" w:hAnsi="仿宋" w:eastAsia="仿宋"/>
                <w:color w:val="000000"/>
              </w:rPr>
              <w:t>索引推荐功能支持用户在数据库中直接进行操作，对用户输入的单条查询语句生成推荐的索引。</w:t>
            </w:r>
          </w:p>
        </w:tc>
      </w:tr>
      <w:tr w14:paraId="2FB2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25" w:type="dxa"/>
            <w:vAlign w:val="center"/>
          </w:tcPr>
          <w:p w14:paraId="112A31FD">
            <w:pPr>
              <w:spacing w:line="312" w:lineRule="auto"/>
              <w:jc w:val="center"/>
              <w:rPr>
                <w:rFonts w:ascii="仿宋" w:hAnsi="仿宋" w:eastAsia="仿宋"/>
                <w:color w:val="000000"/>
              </w:rPr>
            </w:pPr>
            <w:r>
              <w:rPr>
                <w:rFonts w:ascii="仿宋" w:hAnsi="仿宋" w:eastAsia="仿宋"/>
                <w:color w:val="000000"/>
              </w:rPr>
              <w:t>25</w:t>
            </w:r>
          </w:p>
        </w:tc>
        <w:tc>
          <w:tcPr>
            <w:tcW w:w="7923" w:type="dxa"/>
            <w:vAlign w:val="center"/>
          </w:tcPr>
          <w:p w14:paraId="1ACC6E5C">
            <w:pPr>
              <w:spacing w:line="312" w:lineRule="auto"/>
              <w:jc w:val="both"/>
              <w:rPr>
                <w:rFonts w:ascii="仿宋" w:hAnsi="仿宋" w:eastAsia="仿宋"/>
                <w:color w:val="000000"/>
              </w:rPr>
            </w:pPr>
            <w:r>
              <w:rPr>
                <w:rFonts w:ascii="仿宋" w:hAnsi="仿宋" w:eastAsia="仿宋"/>
                <w:color w:val="000000"/>
              </w:rPr>
              <w:t>TPC-C</w:t>
            </w:r>
            <w:r>
              <w:rPr>
                <w:rFonts w:hint="eastAsia" w:ascii="仿宋" w:hAnsi="仿宋" w:eastAsia="仿宋"/>
                <w:color w:val="000000"/>
              </w:rPr>
              <w:t>测试在数据库集群环境下</w:t>
            </w:r>
            <w:r>
              <w:rPr>
                <w:rFonts w:ascii="仿宋" w:hAnsi="仿宋" w:eastAsia="仿宋"/>
                <w:color w:val="000000"/>
              </w:rPr>
              <w:t>7*24</w:t>
            </w:r>
            <w:r>
              <w:rPr>
                <w:rFonts w:hint="eastAsia" w:ascii="仿宋" w:hAnsi="仿宋" w:eastAsia="仿宋"/>
                <w:color w:val="000000"/>
              </w:rPr>
              <w:t>小时内无故障，运行成功率</w:t>
            </w:r>
            <w:r>
              <w:rPr>
                <w:rFonts w:ascii="仿宋" w:hAnsi="仿宋" w:eastAsia="仿宋"/>
                <w:color w:val="000000"/>
              </w:rPr>
              <w:t>99.99%</w:t>
            </w:r>
            <w:r>
              <w:rPr>
                <w:rFonts w:hint="eastAsia" w:ascii="仿宋" w:hAnsi="仿宋" w:eastAsia="仿宋"/>
                <w:color w:val="000000"/>
              </w:rPr>
              <w:t>。投标阶段需提供承诺函，中标后提供第三方检测报告。</w:t>
            </w:r>
          </w:p>
        </w:tc>
      </w:tr>
      <w:tr w14:paraId="6531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25" w:type="dxa"/>
            <w:vAlign w:val="center"/>
          </w:tcPr>
          <w:p w14:paraId="6E5017CF">
            <w:pPr>
              <w:spacing w:line="312" w:lineRule="auto"/>
              <w:jc w:val="center"/>
              <w:rPr>
                <w:rFonts w:ascii="仿宋" w:hAnsi="仿宋" w:eastAsia="仿宋"/>
                <w:color w:val="000000"/>
              </w:rPr>
            </w:pPr>
            <w:r>
              <w:rPr>
                <w:rFonts w:ascii="仿宋" w:hAnsi="仿宋" w:eastAsia="仿宋"/>
                <w:color w:val="000000"/>
              </w:rPr>
              <w:t>26</w:t>
            </w:r>
          </w:p>
        </w:tc>
        <w:tc>
          <w:tcPr>
            <w:tcW w:w="7923" w:type="dxa"/>
            <w:vAlign w:val="center"/>
          </w:tcPr>
          <w:p w14:paraId="11AE4249">
            <w:pPr>
              <w:spacing w:line="312" w:lineRule="auto"/>
              <w:jc w:val="both"/>
              <w:rPr>
                <w:rFonts w:ascii="仿宋" w:hAnsi="仿宋" w:eastAsia="仿宋"/>
                <w:color w:val="000000"/>
              </w:rPr>
            </w:pPr>
            <w:r>
              <w:rPr>
                <w:rFonts w:hint="eastAsia" w:ascii="仿宋" w:hAnsi="仿宋" w:eastAsia="仿宋"/>
                <w:color w:val="000000"/>
              </w:rPr>
              <w:t>对于简单</w:t>
            </w:r>
            <w:r>
              <w:rPr>
                <w:rFonts w:ascii="仿宋" w:hAnsi="仿宋" w:eastAsia="仿宋"/>
                <w:color w:val="000000"/>
              </w:rPr>
              <w:t>sql</w:t>
            </w:r>
            <w:r>
              <w:rPr>
                <w:rFonts w:hint="eastAsia" w:ascii="仿宋" w:hAnsi="仿宋" w:eastAsia="仿宋"/>
                <w:color w:val="000000"/>
              </w:rPr>
              <w:t>，可跳过执行器执行框架，并且直接调用存储接口，加速简单查询的执行速度</w:t>
            </w:r>
          </w:p>
        </w:tc>
      </w:tr>
      <w:tr w14:paraId="3B94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25" w:type="dxa"/>
            <w:vAlign w:val="center"/>
          </w:tcPr>
          <w:p w14:paraId="3A33E092">
            <w:pPr>
              <w:spacing w:line="312" w:lineRule="auto"/>
              <w:jc w:val="center"/>
              <w:rPr>
                <w:rFonts w:ascii="仿宋" w:hAnsi="仿宋" w:eastAsia="仿宋"/>
                <w:color w:val="000000"/>
              </w:rPr>
            </w:pPr>
            <w:r>
              <w:rPr>
                <w:rFonts w:ascii="仿宋" w:hAnsi="仿宋" w:eastAsia="仿宋"/>
                <w:color w:val="000000"/>
              </w:rPr>
              <w:t>27</w:t>
            </w:r>
          </w:p>
        </w:tc>
        <w:tc>
          <w:tcPr>
            <w:tcW w:w="7923" w:type="dxa"/>
            <w:vAlign w:val="center"/>
          </w:tcPr>
          <w:p w14:paraId="733B0DFD">
            <w:pPr>
              <w:spacing w:line="312" w:lineRule="auto"/>
              <w:jc w:val="both"/>
              <w:rPr>
                <w:rFonts w:ascii="仿宋" w:hAnsi="仿宋" w:eastAsia="仿宋"/>
                <w:color w:val="000000"/>
              </w:rPr>
            </w:pPr>
            <w:r>
              <w:rPr>
                <w:rFonts w:hint="eastAsia" w:ascii="仿宋" w:hAnsi="仿宋" w:eastAsia="仿宋"/>
                <w:color w:val="000000"/>
              </w:rPr>
              <w:t>支持账本数据库，具备数据防篡改能力，自动为表数据添加摘要信息，自动创建一张历史表记录对应用户表中数据的变更行为，确保数据库的变更能被有效记录、查询和追溯</w:t>
            </w:r>
            <w:r>
              <w:rPr>
                <w:rFonts w:ascii="仿宋" w:hAnsi="仿宋" w:eastAsia="仿宋"/>
                <w:color w:val="000000"/>
              </w:rPr>
              <w:t>(</w:t>
            </w:r>
            <w:r>
              <w:rPr>
                <w:rFonts w:hint="eastAsia" w:ascii="仿宋" w:hAnsi="仿宋" w:eastAsia="仿宋"/>
                <w:color w:val="000000"/>
              </w:rPr>
              <w:t>该功能需提供操作截图，并加盖原厂公章）</w:t>
            </w:r>
          </w:p>
        </w:tc>
      </w:tr>
      <w:tr w14:paraId="4881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25" w:type="dxa"/>
            <w:vAlign w:val="center"/>
          </w:tcPr>
          <w:p w14:paraId="4DA49F7D">
            <w:pPr>
              <w:spacing w:line="312" w:lineRule="auto"/>
              <w:jc w:val="center"/>
              <w:rPr>
                <w:rFonts w:ascii="仿宋" w:hAnsi="仿宋" w:eastAsia="仿宋"/>
                <w:color w:val="000000"/>
              </w:rPr>
            </w:pPr>
            <w:r>
              <w:rPr>
                <w:rFonts w:ascii="仿宋" w:hAnsi="仿宋" w:eastAsia="仿宋"/>
                <w:color w:val="000000"/>
              </w:rPr>
              <w:t>28</w:t>
            </w:r>
          </w:p>
        </w:tc>
        <w:tc>
          <w:tcPr>
            <w:tcW w:w="7923" w:type="dxa"/>
            <w:vAlign w:val="center"/>
          </w:tcPr>
          <w:p w14:paraId="3F8766DC">
            <w:pPr>
              <w:spacing w:line="312" w:lineRule="auto"/>
              <w:jc w:val="both"/>
              <w:rPr>
                <w:rFonts w:ascii="仿宋" w:hAnsi="仿宋" w:eastAsia="仿宋"/>
                <w:color w:val="000000"/>
              </w:rPr>
            </w:pPr>
            <w:r>
              <w:rPr>
                <w:rFonts w:hint="eastAsia" w:ascii="仿宋" w:hAnsi="仿宋" w:eastAsia="仿宋"/>
                <w:color w:val="000000"/>
              </w:rPr>
              <w:t>★数据库内核自带检测坏块函数，可以通过该内置函数发现丢失的文件，并可以修复。对于表文件损坏的页面，不借助任何工具通过备库自动修复。</w:t>
            </w:r>
            <w:r>
              <w:rPr>
                <w:rFonts w:ascii="仿宋" w:hAnsi="仿宋" w:eastAsia="仿宋"/>
                <w:color w:val="000000"/>
              </w:rPr>
              <w:t>(</w:t>
            </w:r>
            <w:r>
              <w:rPr>
                <w:rFonts w:hint="eastAsia" w:ascii="仿宋" w:hAnsi="仿宋" w:eastAsia="仿宋"/>
                <w:color w:val="000000"/>
              </w:rPr>
              <w:t>该功能需提供操作截图，并加盖原厂公章）</w:t>
            </w:r>
          </w:p>
        </w:tc>
      </w:tr>
      <w:tr w14:paraId="26D9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025" w:type="dxa"/>
            <w:vAlign w:val="center"/>
          </w:tcPr>
          <w:p w14:paraId="3AA2BFCE">
            <w:pPr>
              <w:spacing w:line="312" w:lineRule="auto"/>
              <w:jc w:val="center"/>
              <w:rPr>
                <w:rFonts w:ascii="仿宋" w:hAnsi="仿宋" w:eastAsia="仿宋"/>
                <w:color w:val="000000"/>
              </w:rPr>
            </w:pPr>
            <w:r>
              <w:rPr>
                <w:rFonts w:ascii="仿宋" w:hAnsi="仿宋" w:eastAsia="仿宋"/>
                <w:color w:val="000000"/>
              </w:rPr>
              <w:t>29</w:t>
            </w:r>
          </w:p>
        </w:tc>
        <w:tc>
          <w:tcPr>
            <w:tcW w:w="7923" w:type="dxa"/>
            <w:vAlign w:val="center"/>
          </w:tcPr>
          <w:p w14:paraId="10A50C65">
            <w:pPr>
              <w:spacing w:line="312" w:lineRule="auto"/>
              <w:jc w:val="both"/>
              <w:rPr>
                <w:rFonts w:ascii="仿宋" w:hAnsi="仿宋" w:eastAsia="仿宋"/>
                <w:color w:val="000000"/>
              </w:rPr>
            </w:pPr>
            <w:r>
              <w:rPr>
                <w:rFonts w:hint="eastAsia" w:ascii="仿宋" w:hAnsi="仿宋" w:eastAsia="仿宋"/>
                <w:color w:val="000000"/>
              </w:rPr>
              <w:t>针对系统管理员用户，可实现表对象的控制权和访问权分离，即系统管理员用户包括初始用户在未经其授权前，只能进行控制操作（</w:t>
            </w:r>
            <w:r>
              <w:rPr>
                <w:rFonts w:ascii="仿宋" w:hAnsi="仿宋" w:eastAsia="仿宋"/>
                <w:color w:val="000000"/>
              </w:rPr>
              <w:t>DROP</w:t>
            </w:r>
            <w:r>
              <w:rPr>
                <w:rFonts w:hint="eastAsia" w:ascii="仿宋" w:hAnsi="仿宋" w:eastAsia="仿宋"/>
                <w:color w:val="000000"/>
              </w:rPr>
              <w:t>、</w:t>
            </w:r>
            <w:r>
              <w:rPr>
                <w:rFonts w:ascii="仿宋" w:hAnsi="仿宋" w:eastAsia="仿宋"/>
                <w:color w:val="000000"/>
              </w:rPr>
              <w:t>ALTER</w:t>
            </w:r>
            <w:r>
              <w:rPr>
                <w:rFonts w:hint="eastAsia" w:ascii="仿宋" w:hAnsi="仿宋" w:eastAsia="仿宋"/>
                <w:color w:val="000000"/>
              </w:rPr>
              <w:t>、</w:t>
            </w:r>
            <w:r>
              <w:rPr>
                <w:rFonts w:ascii="仿宋" w:hAnsi="仿宋" w:eastAsia="仿宋"/>
                <w:color w:val="000000"/>
              </w:rPr>
              <w:t>TRUNCATE</w:t>
            </w:r>
            <w:r>
              <w:rPr>
                <w:rFonts w:hint="eastAsia" w:ascii="仿宋" w:hAnsi="仿宋" w:eastAsia="仿宋"/>
                <w:color w:val="000000"/>
              </w:rPr>
              <w:t>），无权进行</w:t>
            </w:r>
            <w:r>
              <w:rPr>
                <w:rFonts w:ascii="仿宋" w:hAnsi="仿宋" w:eastAsia="仿宋"/>
                <w:color w:val="000000"/>
              </w:rPr>
              <w:t>INSERT</w:t>
            </w:r>
            <w:r>
              <w:rPr>
                <w:rFonts w:hint="eastAsia" w:ascii="仿宋" w:hAnsi="仿宋" w:eastAsia="仿宋"/>
                <w:color w:val="000000"/>
              </w:rPr>
              <w:t>、</w:t>
            </w:r>
            <w:r>
              <w:rPr>
                <w:rFonts w:ascii="仿宋" w:hAnsi="仿宋" w:eastAsia="仿宋"/>
                <w:color w:val="000000"/>
              </w:rPr>
              <w:t>DELETE</w:t>
            </w:r>
            <w:r>
              <w:rPr>
                <w:rFonts w:hint="eastAsia" w:ascii="仿宋" w:hAnsi="仿宋" w:eastAsia="仿宋"/>
                <w:color w:val="000000"/>
              </w:rPr>
              <w:t>、</w:t>
            </w:r>
            <w:r>
              <w:rPr>
                <w:rFonts w:ascii="仿宋" w:hAnsi="仿宋" w:eastAsia="仿宋"/>
                <w:color w:val="000000"/>
              </w:rPr>
              <w:t>SELECT</w:t>
            </w:r>
            <w:r>
              <w:rPr>
                <w:rFonts w:hint="eastAsia" w:ascii="仿宋" w:hAnsi="仿宋" w:eastAsia="仿宋"/>
                <w:color w:val="000000"/>
              </w:rPr>
              <w:t>、</w:t>
            </w:r>
            <w:r>
              <w:rPr>
                <w:rFonts w:ascii="仿宋" w:hAnsi="仿宋" w:eastAsia="仿宋"/>
                <w:color w:val="000000"/>
              </w:rPr>
              <w:t>UPDATE</w:t>
            </w:r>
            <w:r>
              <w:rPr>
                <w:rFonts w:hint="eastAsia" w:ascii="仿宋" w:hAnsi="仿宋" w:eastAsia="仿宋"/>
                <w:color w:val="000000"/>
              </w:rPr>
              <w:t>、</w:t>
            </w:r>
            <w:r>
              <w:rPr>
                <w:rFonts w:ascii="仿宋" w:hAnsi="仿宋" w:eastAsia="仿宋"/>
                <w:color w:val="000000"/>
              </w:rPr>
              <w:t>COPY</w:t>
            </w:r>
            <w:r>
              <w:rPr>
                <w:rFonts w:hint="eastAsia" w:ascii="仿宋" w:hAnsi="仿宋" w:eastAsia="仿宋"/>
                <w:color w:val="000000"/>
              </w:rPr>
              <w:t>、</w:t>
            </w:r>
            <w:r>
              <w:rPr>
                <w:rFonts w:ascii="仿宋" w:hAnsi="仿宋" w:eastAsia="仿宋"/>
                <w:color w:val="000000"/>
              </w:rPr>
              <w:t>GRANT</w:t>
            </w:r>
            <w:r>
              <w:rPr>
                <w:rFonts w:hint="eastAsia" w:ascii="仿宋" w:hAnsi="仿宋" w:eastAsia="仿宋"/>
                <w:color w:val="000000"/>
              </w:rPr>
              <w:t>、</w:t>
            </w:r>
            <w:r>
              <w:rPr>
                <w:rFonts w:ascii="仿宋" w:hAnsi="仿宋" w:eastAsia="仿宋"/>
                <w:color w:val="000000"/>
              </w:rPr>
              <w:t>REVOKE</w:t>
            </w:r>
            <w:r>
              <w:rPr>
                <w:rFonts w:hint="eastAsia" w:ascii="仿宋" w:hAnsi="仿宋" w:eastAsia="仿宋"/>
                <w:color w:val="000000"/>
              </w:rPr>
              <w:t>、</w:t>
            </w:r>
            <w:r>
              <w:rPr>
                <w:rFonts w:ascii="仿宋" w:hAnsi="仿宋" w:eastAsia="仿宋"/>
                <w:color w:val="000000"/>
              </w:rPr>
              <w:t>ALTER OWNER</w:t>
            </w:r>
            <w:r>
              <w:rPr>
                <w:rFonts w:hint="eastAsia" w:ascii="仿宋" w:hAnsi="仿宋" w:eastAsia="仿宋"/>
                <w:color w:val="000000"/>
              </w:rPr>
              <w:t>等访问操作</w:t>
            </w:r>
          </w:p>
        </w:tc>
      </w:tr>
      <w:tr w14:paraId="6136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25" w:type="dxa"/>
            <w:vAlign w:val="center"/>
          </w:tcPr>
          <w:p w14:paraId="73DC9F02">
            <w:pPr>
              <w:spacing w:line="312" w:lineRule="auto"/>
              <w:jc w:val="center"/>
              <w:rPr>
                <w:rFonts w:ascii="仿宋" w:hAnsi="仿宋" w:eastAsia="仿宋"/>
                <w:color w:val="000000"/>
              </w:rPr>
            </w:pPr>
            <w:r>
              <w:rPr>
                <w:rFonts w:ascii="仿宋" w:hAnsi="仿宋" w:eastAsia="仿宋"/>
                <w:color w:val="000000"/>
              </w:rPr>
              <w:t>30</w:t>
            </w:r>
          </w:p>
        </w:tc>
        <w:tc>
          <w:tcPr>
            <w:tcW w:w="7923" w:type="dxa"/>
            <w:vAlign w:val="center"/>
          </w:tcPr>
          <w:p w14:paraId="71CD049D">
            <w:pPr>
              <w:spacing w:line="312" w:lineRule="auto"/>
              <w:jc w:val="both"/>
              <w:rPr>
                <w:rFonts w:ascii="仿宋" w:hAnsi="仿宋" w:eastAsia="仿宋"/>
                <w:color w:val="000000"/>
              </w:rPr>
            </w:pPr>
            <w:r>
              <w:rPr>
                <w:rFonts w:hint="eastAsia" w:ascii="仿宋" w:hAnsi="仿宋" w:eastAsia="仿宋"/>
                <w:color w:val="000000"/>
              </w:rPr>
              <w:t>支持备机事务内透明写转发，即备机可以开启事务操作，事务中的读请求放到备机本地执行，写请求转发到主节点执行。</w:t>
            </w:r>
          </w:p>
        </w:tc>
      </w:tr>
      <w:tr w14:paraId="544E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025" w:type="dxa"/>
            <w:vAlign w:val="center"/>
          </w:tcPr>
          <w:p w14:paraId="11A24F54">
            <w:pPr>
              <w:spacing w:line="312" w:lineRule="auto"/>
              <w:jc w:val="center"/>
              <w:rPr>
                <w:rFonts w:ascii="仿宋" w:hAnsi="仿宋" w:eastAsia="仿宋"/>
                <w:color w:val="000000"/>
              </w:rPr>
            </w:pPr>
            <w:r>
              <w:rPr>
                <w:rFonts w:ascii="仿宋" w:hAnsi="仿宋" w:eastAsia="仿宋"/>
                <w:color w:val="000000"/>
              </w:rPr>
              <w:t>31</w:t>
            </w:r>
          </w:p>
        </w:tc>
        <w:tc>
          <w:tcPr>
            <w:tcW w:w="7923" w:type="dxa"/>
            <w:vAlign w:val="center"/>
          </w:tcPr>
          <w:p w14:paraId="1ACA0C81">
            <w:pPr>
              <w:spacing w:line="312" w:lineRule="auto"/>
              <w:jc w:val="both"/>
              <w:rPr>
                <w:rFonts w:ascii="仿宋" w:hAnsi="仿宋" w:eastAsia="仿宋"/>
                <w:color w:val="000000"/>
              </w:rPr>
            </w:pPr>
            <w:r>
              <w:rPr>
                <w:rFonts w:hint="eastAsia" w:ascii="仿宋" w:hAnsi="仿宋" w:eastAsia="仿宋"/>
                <w:color w:val="000000"/>
              </w:rPr>
              <w:t>支持采样活跃会话数据</w:t>
            </w:r>
            <w:r>
              <w:rPr>
                <w:rFonts w:ascii="仿宋" w:hAnsi="仿宋" w:eastAsia="仿宋"/>
                <w:color w:val="000000"/>
              </w:rPr>
              <w:t>,</w:t>
            </w:r>
            <w:r>
              <w:rPr>
                <w:rFonts w:hint="eastAsia" w:ascii="仿宋" w:hAnsi="仿宋" w:eastAsia="仿宋"/>
                <w:color w:val="000000"/>
              </w:rPr>
              <w:t>用于历史问题分析和性能分析、定位性能瓶颈。活跃会话数据支持表、文件以及表和文件的持久化，可提供内存会话数据访问；历史会话数据访问包含会话信息、事件信息、</w:t>
            </w:r>
            <w:r>
              <w:rPr>
                <w:rFonts w:ascii="仿宋" w:hAnsi="仿宋" w:eastAsia="仿宋"/>
                <w:color w:val="000000"/>
              </w:rPr>
              <w:t>SQL</w:t>
            </w:r>
            <w:r>
              <w:rPr>
                <w:rFonts w:hint="eastAsia" w:ascii="仿宋" w:hAnsi="仿宋" w:eastAsia="仿宋"/>
                <w:color w:val="000000"/>
              </w:rPr>
              <w:t>信息等。</w:t>
            </w:r>
          </w:p>
        </w:tc>
      </w:tr>
      <w:tr w14:paraId="0ED4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25" w:type="dxa"/>
            <w:vAlign w:val="center"/>
          </w:tcPr>
          <w:p w14:paraId="60A555AB">
            <w:pPr>
              <w:spacing w:line="312" w:lineRule="auto"/>
              <w:jc w:val="center"/>
              <w:rPr>
                <w:rFonts w:ascii="仿宋" w:hAnsi="仿宋" w:eastAsia="仿宋"/>
                <w:color w:val="000000"/>
              </w:rPr>
            </w:pPr>
            <w:r>
              <w:rPr>
                <w:rFonts w:ascii="仿宋" w:hAnsi="仿宋" w:eastAsia="仿宋"/>
                <w:color w:val="000000"/>
              </w:rPr>
              <w:t>32</w:t>
            </w:r>
          </w:p>
        </w:tc>
        <w:tc>
          <w:tcPr>
            <w:tcW w:w="7923" w:type="dxa"/>
            <w:vAlign w:val="center"/>
          </w:tcPr>
          <w:p w14:paraId="41D47689">
            <w:pPr>
              <w:spacing w:line="312" w:lineRule="auto"/>
              <w:jc w:val="both"/>
              <w:rPr>
                <w:rFonts w:ascii="仿宋" w:hAnsi="仿宋" w:eastAsia="仿宋"/>
                <w:color w:val="000000"/>
              </w:rPr>
            </w:pPr>
            <w:r>
              <w:rPr>
                <w:rFonts w:hint="eastAsia" w:ascii="仿宋" w:hAnsi="仿宋" w:eastAsia="仿宋"/>
                <w:color w:val="000000"/>
              </w:rPr>
              <w:t>支持自主访问控制、基于安全标签的强制访问控制、用户角色三权分立、审计、加密、身份识别与验证等安全功能。可以提供中国网络安全审查技术与认证中心颁发的《</w:t>
            </w:r>
            <w:r>
              <w:rPr>
                <w:rFonts w:ascii="仿宋" w:hAnsi="仿宋" w:eastAsia="仿宋"/>
                <w:color w:val="000000"/>
              </w:rPr>
              <w:t xml:space="preserve">IT </w:t>
            </w:r>
            <w:r>
              <w:rPr>
                <w:rFonts w:hint="eastAsia" w:ascii="仿宋" w:hAnsi="仿宋" w:eastAsia="仿宋"/>
                <w:color w:val="000000"/>
              </w:rPr>
              <w:t>产品信息安全认证评估保障级</w:t>
            </w:r>
            <w:r>
              <w:rPr>
                <w:rFonts w:ascii="仿宋" w:hAnsi="仿宋" w:eastAsia="仿宋"/>
                <w:color w:val="000000"/>
              </w:rPr>
              <w:t>EAL4</w:t>
            </w:r>
            <w:r>
              <w:rPr>
                <w:rFonts w:hint="eastAsia" w:ascii="仿宋" w:hAnsi="仿宋" w:eastAsia="仿宋"/>
                <w:color w:val="000000"/>
              </w:rPr>
              <w:t>增强级》和《网络关键设备和网络安全专用产品安全认证证书》。</w:t>
            </w:r>
          </w:p>
        </w:tc>
      </w:tr>
      <w:tr w14:paraId="4041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025" w:type="dxa"/>
            <w:vAlign w:val="center"/>
          </w:tcPr>
          <w:p w14:paraId="7D79CDC8">
            <w:pPr>
              <w:spacing w:line="312" w:lineRule="auto"/>
              <w:jc w:val="center"/>
              <w:rPr>
                <w:rFonts w:ascii="仿宋" w:hAnsi="仿宋" w:eastAsia="仿宋"/>
                <w:color w:val="000000"/>
              </w:rPr>
            </w:pPr>
            <w:r>
              <w:rPr>
                <w:rFonts w:hint="eastAsia" w:ascii="仿宋" w:hAnsi="仿宋" w:eastAsia="仿宋"/>
                <w:color w:val="000000"/>
              </w:rPr>
              <w:t>3</w:t>
            </w:r>
            <w:r>
              <w:rPr>
                <w:rFonts w:ascii="仿宋" w:hAnsi="仿宋" w:eastAsia="仿宋"/>
                <w:color w:val="000000"/>
              </w:rPr>
              <w:t>3</w:t>
            </w:r>
          </w:p>
        </w:tc>
        <w:tc>
          <w:tcPr>
            <w:tcW w:w="7923" w:type="dxa"/>
            <w:vAlign w:val="center"/>
          </w:tcPr>
          <w:p w14:paraId="44D87D06">
            <w:pPr>
              <w:spacing w:line="312" w:lineRule="auto"/>
              <w:jc w:val="both"/>
              <w:rPr>
                <w:rFonts w:ascii="仿宋" w:hAnsi="仿宋" w:eastAsia="仿宋"/>
                <w:color w:val="000000"/>
              </w:rPr>
            </w:pPr>
            <w:r>
              <w:rPr>
                <w:rFonts w:hint="eastAsia" w:ascii="仿宋" w:hAnsi="仿宋" w:eastAsia="仿宋"/>
                <w:color w:val="000000"/>
              </w:rPr>
              <w:t>在</w:t>
            </w:r>
            <w:r>
              <w:rPr>
                <w:rFonts w:ascii="仿宋" w:hAnsi="仿宋" w:eastAsia="仿宋"/>
                <w:color w:val="000000"/>
              </w:rPr>
              <w:t xml:space="preserve">2 </w:t>
            </w:r>
            <w:r>
              <w:rPr>
                <w:rFonts w:hint="eastAsia" w:ascii="仿宋" w:hAnsi="仿宋" w:eastAsia="仿宋"/>
                <w:color w:val="000000"/>
              </w:rPr>
              <w:t>路国产处理器平台上，在不低于</w:t>
            </w:r>
            <w:r>
              <w:rPr>
                <w:rFonts w:ascii="仿宋" w:hAnsi="仿宋" w:eastAsia="仿宋"/>
                <w:color w:val="000000"/>
              </w:rPr>
              <w:t>100</w:t>
            </w:r>
            <w:r>
              <w:rPr>
                <w:rFonts w:hint="eastAsia" w:ascii="仿宋" w:hAnsi="仿宋" w:eastAsia="仿宋"/>
                <w:color w:val="000000"/>
              </w:rPr>
              <w:t>张千万行表的数据规模下，持续</w:t>
            </w:r>
            <w:r>
              <w:rPr>
                <w:rFonts w:ascii="仿宋" w:hAnsi="仿宋" w:eastAsia="仿宋"/>
                <w:color w:val="000000"/>
              </w:rPr>
              <w:t>10</w:t>
            </w:r>
            <w:r>
              <w:rPr>
                <w:rFonts w:hint="eastAsia" w:ascii="仿宋" w:hAnsi="仿宋" w:eastAsia="仿宋"/>
                <w:color w:val="000000"/>
              </w:rPr>
              <w:t>分钟的不低于</w:t>
            </w:r>
            <w:r>
              <w:rPr>
                <w:rFonts w:ascii="仿宋" w:hAnsi="仿宋" w:eastAsia="仿宋"/>
                <w:color w:val="000000"/>
              </w:rPr>
              <w:t>1000</w:t>
            </w:r>
            <w:r>
              <w:rPr>
                <w:rFonts w:hint="eastAsia" w:ascii="仿宋" w:hAnsi="仿宋" w:eastAsia="仿宋"/>
                <w:color w:val="000000"/>
              </w:rPr>
              <w:t>并发操作，数据库的批量数据插入的事务处理能力可达</w:t>
            </w:r>
            <w:r>
              <w:rPr>
                <w:rFonts w:ascii="仿宋" w:hAnsi="仿宋" w:eastAsia="仿宋"/>
                <w:color w:val="000000"/>
              </w:rPr>
              <w:t>120</w:t>
            </w:r>
            <w:r>
              <w:rPr>
                <w:rFonts w:hint="eastAsia" w:ascii="仿宋" w:hAnsi="仿宋" w:eastAsia="仿宋"/>
                <w:color w:val="000000"/>
              </w:rPr>
              <w:t>万次</w:t>
            </w:r>
            <w:r>
              <w:rPr>
                <w:rFonts w:ascii="仿宋" w:hAnsi="仿宋" w:eastAsia="仿宋"/>
                <w:color w:val="000000"/>
              </w:rPr>
              <w:t>/</w:t>
            </w:r>
            <w:r>
              <w:rPr>
                <w:rFonts w:hint="eastAsia" w:ascii="仿宋" w:hAnsi="仿宋" w:eastAsia="仿宋"/>
                <w:color w:val="000000"/>
              </w:rPr>
              <w:t>秒、单值插入数据的的事务处理能力可达</w:t>
            </w:r>
            <w:r>
              <w:rPr>
                <w:rFonts w:ascii="仿宋" w:hAnsi="仿宋" w:eastAsia="仿宋"/>
                <w:color w:val="000000"/>
              </w:rPr>
              <w:t>10</w:t>
            </w:r>
            <w:r>
              <w:rPr>
                <w:rFonts w:hint="eastAsia" w:ascii="仿宋" w:hAnsi="仿宋" w:eastAsia="仿宋"/>
                <w:color w:val="000000"/>
              </w:rPr>
              <w:t>万次</w:t>
            </w:r>
            <w:r>
              <w:rPr>
                <w:rFonts w:ascii="仿宋" w:hAnsi="仿宋" w:eastAsia="仿宋"/>
                <w:color w:val="000000"/>
              </w:rPr>
              <w:t>/</w:t>
            </w:r>
            <w:r>
              <w:rPr>
                <w:rFonts w:hint="eastAsia" w:ascii="仿宋" w:hAnsi="仿宋" w:eastAsia="仿宋"/>
                <w:color w:val="000000"/>
              </w:rPr>
              <w:t>秒、删除数据的事务处理能力可达</w:t>
            </w:r>
            <w:r>
              <w:rPr>
                <w:rFonts w:ascii="仿宋" w:hAnsi="仿宋" w:eastAsia="仿宋"/>
                <w:color w:val="000000"/>
              </w:rPr>
              <w:t>60</w:t>
            </w:r>
            <w:r>
              <w:rPr>
                <w:rFonts w:hint="eastAsia" w:ascii="仿宋" w:hAnsi="仿宋" w:eastAsia="仿宋"/>
                <w:color w:val="000000"/>
              </w:rPr>
              <w:t>万次</w:t>
            </w:r>
            <w:r>
              <w:rPr>
                <w:rFonts w:ascii="仿宋" w:hAnsi="仿宋" w:eastAsia="仿宋"/>
                <w:color w:val="000000"/>
              </w:rPr>
              <w:t>/</w:t>
            </w:r>
            <w:r>
              <w:rPr>
                <w:rFonts w:hint="eastAsia" w:ascii="仿宋" w:hAnsi="仿宋" w:eastAsia="仿宋"/>
                <w:color w:val="000000"/>
              </w:rPr>
              <w:t>秒、单值数据查询的事务处理能力可达</w:t>
            </w:r>
            <w:r>
              <w:rPr>
                <w:rFonts w:ascii="仿宋" w:hAnsi="仿宋" w:eastAsia="仿宋"/>
                <w:color w:val="000000"/>
              </w:rPr>
              <w:t>100</w:t>
            </w:r>
            <w:r>
              <w:rPr>
                <w:rFonts w:hint="eastAsia" w:ascii="仿宋" w:hAnsi="仿宋" w:eastAsia="仿宋"/>
                <w:color w:val="000000"/>
              </w:rPr>
              <w:t>万次</w:t>
            </w:r>
            <w:r>
              <w:rPr>
                <w:rFonts w:ascii="仿宋" w:hAnsi="仿宋" w:eastAsia="仿宋"/>
                <w:color w:val="000000"/>
              </w:rPr>
              <w:t>/</w:t>
            </w:r>
            <w:r>
              <w:rPr>
                <w:rFonts w:hint="eastAsia" w:ascii="仿宋" w:hAnsi="仿宋" w:eastAsia="仿宋"/>
                <w:color w:val="000000"/>
              </w:rPr>
              <w:t>秒。中标后提供须提供具有</w:t>
            </w:r>
            <w:r>
              <w:rPr>
                <w:rFonts w:ascii="仿宋" w:hAnsi="仿宋" w:eastAsia="仿宋"/>
                <w:color w:val="000000"/>
              </w:rPr>
              <w:t>CNAS</w:t>
            </w:r>
            <w:r>
              <w:rPr>
                <w:rFonts w:hint="eastAsia" w:ascii="仿宋" w:hAnsi="仿宋" w:eastAsia="仿宋"/>
                <w:color w:val="000000"/>
              </w:rPr>
              <w:t>标识的第三方检测机构出具的检测报告。</w:t>
            </w:r>
          </w:p>
        </w:tc>
      </w:tr>
      <w:tr w14:paraId="31DF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025" w:type="dxa"/>
            <w:vAlign w:val="center"/>
          </w:tcPr>
          <w:p w14:paraId="6614C61C">
            <w:pPr>
              <w:spacing w:line="312" w:lineRule="auto"/>
              <w:jc w:val="center"/>
              <w:rPr>
                <w:rFonts w:ascii="仿宋" w:hAnsi="仿宋" w:eastAsia="仿宋"/>
                <w:color w:val="000000"/>
              </w:rPr>
            </w:pPr>
            <w:r>
              <w:rPr>
                <w:rFonts w:hint="eastAsia" w:ascii="仿宋" w:hAnsi="仿宋" w:eastAsia="仿宋"/>
                <w:color w:val="000000"/>
              </w:rPr>
              <w:t>3</w:t>
            </w:r>
            <w:r>
              <w:rPr>
                <w:rFonts w:ascii="仿宋" w:hAnsi="仿宋" w:eastAsia="仿宋"/>
                <w:color w:val="000000"/>
              </w:rPr>
              <w:t>4</w:t>
            </w:r>
          </w:p>
        </w:tc>
        <w:tc>
          <w:tcPr>
            <w:tcW w:w="7923" w:type="dxa"/>
            <w:vAlign w:val="center"/>
          </w:tcPr>
          <w:p w14:paraId="4601106A">
            <w:pPr>
              <w:spacing w:line="312" w:lineRule="auto"/>
              <w:jc w:val="both"/>
              <w:rPr>
                <w:rFonts w:ascii="仿宋" w:hAnsi="仿宋" w:eastAsia="仿宋"/>
                <w:color w:val="000000"/>
              </w:rPr>
            </w:pPr>
            <w:r>
              <w:rPr>
                <w:rFonts w:ascii="仿宋" w:hAnsi="仿宋" w:eastAsia="仿宋"/>
                <w:color w:val="000000"/>
              </w:rPr>
              <w:t>★数据库产品安装、测试、实施、优化及后续售后支持服务等全过程，均需提供产品厂家的原厂现场支持服务</w:t>
            </w:r>
          </w:p>
        </w:tc>
      </w:tr>
      <w:tr w14:paraId="73F1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025" w:type="dxa"/>
            <w:vAlign w:val="center"/>
          </w:tcPr>
          <w:p w14:paraId="408DAF91">
            <w:pPr>
              <w:spacing w:line="312" w:lineRule="auto"/>
              <w:jc w:val="center"/>
              <w:rPr>
                <w:rFonts w:hint="eastAsia" w:ascii="仿宋" w:hAnsi="仿宋" w:eastAsia="仿宋"/>
                <w:b/>
                <w:bCs/>
                <w:color w:val="000000"/>
              </w:rPr>
            </w:pPr>
            <w:r>
              <w:rPr>
                <w:rFonts w:hint="eastAsia" w:ascii="仿宋" w:hAnsi="仿宋" w:eastAsia="仿宋"/>
                <w:b/>
                <w:bCs/>
                <w:color w:val="000000"/>
              </w:rPr>
              <w:t>3</w:t>
            </w:r>
            <w:r>
              <w:rPr>
                <w:rFonts w:ascii="仿宋" w:hAnsi="仿宋" w:eastAsia="仿宋"/>
                <w:b/>
                <w:bCs/>
                <w:color w:val="000000"/>
              </w:rPr>
              <w:t>5</w:t>
            </w:r>
          </w:p>
        </w:tc>
        <w:tc>
          <w:tcPr>
            <w:tcW w:w="7923" w:type="dxa"/>
            <w:vAlign w:val="center"/>
          </w:tcPr>
          <w:p w14:paraId="16952D23">
            <w:pPr>
              <w:spacing w:line="312" w:lineRule="auto"/>
              <w:jc w:val="both"/>
              <w:rPr>
                <w:rFonts w:ascii="仿宋" w:hAnsi="仿宋" w:eastAsia="仿宋"/>
                <w:b/>
                <w:bCs/>
                <w:color w:val="000000"/>
              </w:rPr>
            </w:pPr>
            <w:r>
              <w:rPr>
                <w:rFonts w:ascii="仿宋" w:hAnsi="仿宋" w:eastAsia="仿宋"/>
                <w:b/>
                <w:bCs/>
                <w:color w:val="000000"/>
              </w:rPr>
              <w:t>★</w:t>
            </w:r>
            <w:r>
              <w:rPr>
                <w:rFonts w:hint="eastAsia" w:ascii="仿宋" w:hAnsi="仿宋" w:eastAsia="仿宋"/>
                <w:b/>
                <w:bCs/>
                <w:color w:val="000000"/>
              </w:rPr>
              <w:t>所提供数据库具备五年原厂技术支持服务</w:t>
            </w:r>
          </w:p>
        </w:tc>
      </w:tr>
    </w:tbl>
    <w:p w14:paraId="0D02C66A">
      <w:pPr>
        <w:pStyle w:val="4"/>
      </w:pPr>
      <w:bookmarkStart w:id="25" w:name="_Toc9541"/>
    </w:p>
    <w:tbl>
      <w:tblPr>
        <w:tblStyle w:val="19"/>
        <w:tblW w:w="8997" w:type="dxa"/>
        <w:tblInd w:w="-81" w:type="dxa"/>
        <w:tblLayout w:type="fixed"/>
        <w:tblCellMar>
          <w:top w:w="0" w:type="dxa"/>
          <w:left w:w="108" w:type="dxa"/>
          <w:bottom w:w="0" w:type="dxa"/>
          <w:right w:w="108" w:type="dxa"/>
        </w:tblCellMar>
      </w:tblPr>
      <w:tblGrid>
        <w:gridCol w:w="1059"/>
        <w:gridCol w:w="7938"/>
      </w:tblGrid>
      <w:tr w14:paraId="15DA40CC">
        <w:tblPrEx>
          <w:tblCellMar>
            <w:top w:w="0" w:type="dxa"/>
            <w:left w:w="108" w:type="dxa"/>
            <w:bottom w:w="0" w:type="dxa"/>
            <w:right w:w="108" w:type="dxa"/>
          </w:tblCellMar>
        </w:tblPrEx>
        <w:trPr>
          <w:trHeight w:val="700"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3F92B0DC">
            <w:pPr>
              <w:jc w:val="center"/>
              <w:rPr>
                <w:rFonts w:ascii="仿宋" w:hAnsi="仿宋" w:eastAsia="仿宋" w:cs="仿宋"/>
                <w:b/>
                <w:color w:val="000000"/>
              </w:rPr>
            </w:pPr>
            <w:r>
              <w:rPr>
                <w:rFonts w:hint="eastAsia" w:ascii="仿宋" w:hAnsi="仿宋" w:eastAsia="仿宋" w:cs="仿宋"/>
                <w:b/>
                <w:color w:val="000000"/>
              </w:rPr>
              <w:t>序号</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4F193A31">
            <w:pPr>
              <w:jc w:val="center"/>
              <w:rPr>
                <w:rFonts w:ascii="仿宋" w:hAnsi="仿宋" w:eastAsia="仿宋" w:cs="仿宋"/>
                <w:b/>
                <w:color w:val="000000"/>
              </w:rPr>
            </w:pPr>
            <w:r>
              <w:rPr>
                <w:rFonts w:hint="eastAsia" w:ascii="仿宋" w:hAnsi="仿宋" w:eastAsia="仿宋"/>
                <w:b/>
                <w:bCs/>
                <w:color w:val="000000"/>
              </w:rPr>
              <w:t>操作系统技术条款</w:t>
            </w:r>
          </w:p>
        </w:tc>
      </w:tr>
      <w:tr w14:paraId="735F6B82">
        <w:tblPrEx>
          <w:tblCellMar>
            <w:top w:w="0" w:type="dxa"/>
            <w:left w:w="108" w:type="dxa"/>
            <w:bottom w:w="0" w:type="dxa"/>
            <w:right w:w="108" w:type="dxa"/>
          </w:tblCellMar>
        </w:tblPrEx>
        <w:trPr>
          <w:trHeight w:val="823"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70F48129">
            <w:pPr>
              <w:jc w:val="center"/>
              <w:rPr>
                <w:rFonts w:ascii="仿宋" w:hAnsi="仿宋" w:eastAsia="仿宋" w:cs="仿宋"/>
                <w:color w:val="000000"/>
              </w:rPr>
            </w:pPr>
            <w:r>
              <w:rPr>
                <w:rFonts w:ascii="仿宋" w:hAnsi="仿宋" w:eastAsia="仿宋" w:cs="仿宋"/>
                <w:color w:val="000000"/>
              </w:rPr>
              <w:t>1</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3B20C62C">
            <w:pPr>
              <w:rPr>
                <w:rFonts w:ascii="仿宋" w:hAnsi="仿宋" w:eastAsia="仿宋" w:cs="仿宋"/>
                <w:color w:val="000000"/>
              </w:rPr>
            </w:pPr>
            <w:r>
              <w:rPr>
                <w:rFonts w:hint="eastAsia" w:ascii="仿宋" w:hAnsi="仿宋" w:eastAsia="仿宋" w:cs="仿宋"/>
                <w:color w:val="000000"/>
              </w:rPr>
              <w:t>支持飞腾、龙芯、兆芯、鲲鹏、海光等主流国产CPU，至少支持包括飞腾FT-1500A/FT-2000+，龙芯3B3000/4000，海光3200、5200、7200系列、兆芯KH-30000、KH-20000系列、鲲鹏920等系列。</w:t>
            </w:r>
          </w:p>
        </w:tc>
      </w:tr>
      <w:tr w14:paraId="66A2AC85">
        <w:tblPrEx>
          <w:tblCellMar>
            <w:top w:w="0" w:type="dxa"/>
            <w:left w:w="108" w:type="dxa"/>
            <w:bottom w:w="0" w:type="dxa"/>
            <w:right w:w="108" w:type="dxa"/>
          </w:tblCellMar>
        </w:tblPrEx>
        <w:trPr>
          <w:trHeight w:val="190" w:hRule="atLeast"/>
        </w:trPr>
        <w:tc>
          <w:tcPr>
            <w:tcW w:w="1059" w:type="dxa"/>
            <w:tcBorders>
              <w:top w:val="single" w:color="auto" w:sz="6" w:space="0"/>
              <w:left w:val="single" w:color="auto" w:sz="12" w:space="0"/>
              <w:bottom w:val="single" w:color="auto" w:sz="6" w:space="0"/>
              <w:right w:val="single" w:color="auto" w:sz="6" w:space="0"/>
              <w:tl2br w:val="nil"/>
              <w:tr2bl w:val="nil"/>
            </w:tcBorders>
            <w:shd w:val="clear" w:color="auto" w:fill="auto"/>
          </w:tcPr>
          <w:p w14:paraId="2EAC5F27">
            <w:pPr>
              <w:jc w:val="center"/>
              <w:rPr>
                <w:rFonts w:ascii="仿宋" w:hAnsi="仿宋" w:eastAsia="仿宋" w:cs="仿宋"/>
                <w:color w:val="000000"/>
              </w:rPr>
            </w:pPr>
            <w:r>
              <w:rPr>
                <w:rFonts w:ascii="仿宋" w:hAnsi="仿宋" w:eastAsia="仿宋" w:cs="仿宋"/>
                <w:color w:val="000000"/>
              </w:rPr>
              <w:t>2</w:t>
            </w:r>
          </w:p>
        </w:tc>
        <w:tc>
          <w:tcPr>
            <w:tcW w:w="7938" w:type="dxa"/>
            <w:tcBorders>
              <w:top w:val="single" w:color="auto" w:sz="6" w:space="0"/>
              <w:left w:val="single" w:color="auto" w:sz="6" w:space="0"/>
              <w:bottom w:val="single" w:color="auto" w:sz="6" w:space="0"/>
              <w:right w:val="single" w:color="auto" w:sz="6" w:space="0"/>
              <w:tl2br w:val="nil"/>
              <w:tr2bl w:val="nil"/>
            </w:tcBorders>
            <w:shd w:val="clear" w:color="auto" w:fill="auto"/>
          </w:tcPr>
          <w:p w14:paraId="7B50D259">
            <w:pPr>
              <w:rPr>
                <w:rFonts w:ascii="仿宋" w:hAnsi="仿宋" w:eastAsia="仿宋" w:cs="仿宋"/>
                <w:color w:val="000000"/>
              </w:rPr>
            </w:pPr>
            <w:r>
              <w:rPr>
                <w:rFonts w:hint="eastAsia" w:ascii="仿宋" w:hAnsi="仿宋" w:eastAsia="仿宋" w:cs="仿宋"/>
                <w:color w:val="000000"/>
              </w:rPr>
              <w:t>符合ISO20000信息技术服务管理体系标准。具有ISO 9001认证。</w:t>
            </w:r>
          </w:p>
        </w:tc>
      </w:tr>
      <w:tr w14:paraId="2F2368CA">
        <w:tblPrEx>
          <w:tblCellMar>
            <w:top w:w="0" w:type="dxa"/>
            <w:left w:w="108" w:type="dxa"/>
            <w:bottom w:w="0" w:type="dxa"/>
            <w:right w:w="108" w:type="dxa"/>
          </w:tblCellMar>
        </w:tblPrEx>
        <w:trPr>
          <w:trHeight w:val="31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09C164D4">
            <w:pPr>
              <w:jc w:val="center"/>
              <w:rPr>
                <w:rFonts w:ascii="仿宋" w:hAnsi="仿宋" w:eastAsia="仿宋" w:cs="仿宋"/>
                <w:color w:val="000000"/>
              </w:rPr>
            </w:pPr>
            <w:r>
              <w:rPr>
                <w:rFonts w:ascii="仿宋" w:hAnsi="仿宋" w:eastAsia="仿宋" w:cs="仿宋"/>
                <w:color w:val="000000"/>
              </w:rPr>
              <w:t>4</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1FA8F09D">
            <w:pPr>
              <w:rPr>
                <w:rFonts w:ascii="仿宋" w:hAnsi="仿宋" w:eastAsia="仿宋" w:cs="仿宋"/>
                <w:color w:val="000000"/>
              </w:rPr>
            </w:pPr>
            <w:r>
              <w:rPr>
                <w:rFonts w:hint="eastAsia" w:ascii="仿宋" w:hAnsi="仿宋" w:eastAsia="仿宋" w:cs="仿宋"/>
                <w:color w:val="FF0000"/>
              </w:rPr>
              <w:t>研发过程符合CMMI5标准，提供加盖厂商公章认证证书。</w:t>
            </w:r>
          </w:p>
        </w:tc>
      </w:tr>
      <w:tr w14:paraId="1D859F2A">
        <w:tblPrEx>
          <w:tblCellMar>
            <w:top w:w="0" w:type="dxa"/>
            <w:left w:w="108" w:type="dxa"/>
            <w:bottom w:w="0" w:type="dxa"/>
            <w:right w:w="108" w:type="dxa"/>
          </w:tblCellMar>
        </w:tblPrEx>
        <w:trPr>
          <w:trHeight w:val="651"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7C77D83C">
            <w:pPr>
              <w:jc w:val="center"/>
              <w:rPr>
                <w:rFonts w:ascii="仿宋" w:hAnsi="仿宋" w:eastAsia="仿宋" w:cs="仿宋"/>
                <w:color w:val="000000"/>
              </w:rPr>
            </w:pPr>
            <w:r>
              <w:rPr>
                <w:rFonts w:ascii="仿宋" w:hAnsi="仿宋" w:eastAsia="仿宋" w:cs="仿宋"/>
                <w:color w:val="000000"/>
              </w:rPr>
              <w:t>5</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0F327380">
            <w:pPr>
              <w:rPr>
                <w:rFonts w:ascii="仿宋" w:hAnsi="仿宋" w:eastAsia="仿宋" w:cs="仿宋"/>
                <w:color w:val="000000"/>
              </w:rPr>
            </w:pPr>
            <w:r>
              <w:rPr>
                <w:rFonts w:hint="eastAsia" w:ascii="仿宋" w:hAnsi="仿宋" w:eastAsia="仿宋" w:cs="仿宋"/>
                <w:color w:val="000000"/>
              </w:rPr>
              <w:t>通过GB/T 20272第四级（结构化保护级）测评并获得销售许可，具有安全性，提供加盖厂商公章的国家网络与信息系统安全产品质量监督检验中心检测证书。</w:t>
            </w:r>
          </w:p>
        </w:tc>
      </w:tr>
      <w:tr w14:paraId="2961A376">
        <w:tblPrEx>
          <w:tblCellMar>
            <w:top w:w="0" w:type="dxa"/>
            <w:left w:w="108" w:type="dxa"/>
            <w:bottom w:w="0" w:type="dxa"/>
            <w:right w:w="108" w:type="dxa"/>
          </w:tblCellMar>
        </w:tblPrEx>
        <w:trPr>
          <w:trHeight w:val="59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2A37C16F">
            <w:pPr>
              <w:jc w:val="center"/>
              <w:rPr>
                <w:rFonts w:ascii="仿宋" w:hAnsi="仿宋" w:eastAsia="仿宋" w:cs="仿宋"/>
                <w:color w:val="000000"/>
              </w:rPr>
            </w:pPr>
            <w:r>
              <w:rPr>
                <w:rFonts w:ascii="仿宋" w:hAnsi="仿宋" w:eastAsia="仿宋" w:cs="仿宋"/>
                <w:color w:val="000000"/>
              </w:rPr>
              <w:t>6</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23CDCDEC">
            <w:pPr>
              <w:rPr>
                <w:rFonts w:ascii="仿宋" w:hAnsi="仿宋" w:eastAsia="仿宋" w:cs="仿宋"/>
                <w:color w:val="000000"/>
              </w:rPr>
            </w:pPr>
            <w:r>
              <w:rPr>
                <w:rFonts w:hint="eastAsia" w:ascii="仿宋" w:hAnsi="仿宋" w:eastAsia="仿宋" w:cs="仿宋"/>
                <w:color w:val="000000"/>
              </w:rPr>
              <w:t>符合GB18030-2005《信息交换用汉字编码字符集基本集的扩充》编码标准。</w:t>
            </w:r>
          </w:p>
        </w:tc>
      </w:tr>
      <w:tr w14:paraId="530D6222">
        <w:tblPrEx>
          <w:tblCellMar>
            <w:top w:w="0" w:type="dxa"/>
            <w:left w:w="108" w:type="dxa"/>
            <w:bottom w:w="0" w:type="dxa"/>
            <w:right w:w="108" w:type="dxa"/>
          </w:tblCellMar>
        </w:tblPrEx>
        <w:trPr>
          <w:trHeight w:val="28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21C8BFB5">
            <w:pPr>
              <w:jc w:val="center"/>
              <w:rPr>
                <w:rFonts w:ascii="仿宋" w:hAnsi="仿宋" w:eastAsia="仿宋" w:cs="仿宋"/>
                <w:color w:val="000000"/>
              </w:rPr>
            </w:pPr>
            <w:r>
              <w:rPr>
                <w:rFonts w:ascii="仿宋" w:hAnsi="仿宋" w:eastAsia="仿宋" w:cs="仿宋"/>
                <w:color w:val="000000"/>
              </w:rPr>
              <w:t>7</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2306B2FD">
            <w:pPr>
              <w:rPr>
                <w:rFonts w:ascii="仿宋" w:hAnsi="仿宋" w:eastAsia="仿宋" w:cs="仿宋"/>
                <w:color w:val="000000"/>
              </w:rPr>
            </w:pPr>
            <w:r>
              <w:rPr>
                <w:rFonts w:hint="eastAsia" w:ascii="仿宋" w:hAnsi="仿宋" w:eastAsia="仿宋" w:cs="仿宋"/>
                <w:color w:val="000000"/>
              </w:rPr>
              <w:t>支持中文输入法，支持搜狗五笔输入法、搜狗拼音输入法、华宇输入法、讯飞输入法等。</w:t>
            </w:r>
          </w:p>
        </w:tc>
      </w:tr>
      <w:tr w14:paraId="6A10C240">
        <w:tblPrEx>
          <w:tblCellMar>
            <w:top w:w="0" w:type="dxa"/>
            <w:left w:w="108" w:type="dxa"/>
            <w:bottom w:w="0" w:type="dxa"/>
            <w:right w:w="108" w:type="dxa"/>
          </w:tblCellMar>
        </w:tblPrEx>
        <w:trPr>
          <w:trHeight w:val="42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437AA478">
            <w:pPr>
              <w:jc w:val="center"/>
              <w:rPr>
                <w:rFonts w:ascii="仿宋" w:hAnsi="仿宋" w:eastAsia="仿宋" w:cs="仿宋"/>
                <w:color w:val="000000"/>
              </w:rPr>
            </w:pPr>
            <w:r>
              <w:rPr>
                <w:rFonts w:ascii="仿宋" w:hAnsi="仿宋" w:eastAsia="仿宋" w:cs="仿宋"/>
                <w:color w:val="000000"/>
              </w:rPr>
              <w:t>8</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6939D0EB">
            <w:pPr>
              <w:rPr>
                <w:rFonts w:ascii="仿宋" w:hAnsi="仿宋" w:eastAsia="仿宋" w:cs="仿宋"/>
                <w:color w:val="000000"/>
              </w:rPr>
            </w:pPr>
            <w:r>
              <w:rPr>
                <w:rFonts w:hint="eastAsia" w:ascii="仿宋" w:hAnsi="仿宋" w:eastAsia="仿宋" w:cs="仿宋"/>
                <w:color w:val="000000"/>
              </w:rPr>
              <w:t>支持同品牌的云平台软件、高可用集群、服务器虚拟化系统、安全云桌面管理软件等配套产品。</w:t>
            </w:r>
          </w:p>
        </w:tc>
      </w:tr>
      <w:tr w14:paraId="2597A783">
        <w:tblPrEx>
          <w:tblCellMar>
            <w:top w:w="0" w:type="dxa"/>
            <w:left w:w="108" w:type="dxa"/>
            <w:bottom w:w="0" w:type="dxa"/>
            <w:right w:w="108" w:type="dxa"/>
          </w:tblCellMar>
        </w:tblPrEx>
        <w:trPr>
          <w:trHeight w:val="700" w:hRule="atLeast"/>
        </w:trPr>
        <w:tc>
          <w:tcPr>
            <w:tcW w:w="1059" w:type="dxa"/>
            <w:tcBorders>
              <w:top w:val="single" w:color="auto" w:sz="6" w:space="0"/>
              <w:left w:val="single" w:color="auto" w:sz="12" w:space="0"/>
              <w:bottom w:val="single" w:color="auto" w:sz="6" w:space="0"/>
              <w:right w:val="single" w:color="auto" w:sz="6" w:space="0"/>
              <w:tl2br w:val="nil"/>
              <w:tr2bl w:val="nil"/>
            </w:tcBorders>
            <w:shd w:val="clear" w:color="auto" w:fill="auto"/>
          </w:tcPr>
          <w:p w14:paraId="1FF90D42">
            <w:pPr>
              <w:jc w:val="center"/>
              <w:rPr>
                <w:rFonts w:ascii="仿宋" w:hAnsi="仿宋" w:eastAsia="仿宋" w:cs="仿宋"/>
                <w:color w:val="000000"/>
              </w:rPr>
            </w:pPr>
            <w:r>
              <w:rPr>
                <w:rFonts w:hint="eastAsia" w:ascii="仿宋" w:hAnsi="仿宋" w:eastAsia="仿宋" w:cs="仿宋"/>
                <w:color w:val="000000"/>
              </w:rPr>
              <w:t>9</w:t>
            </w:r>
          </w:p>
        </w:tc>
        <w:tc>
          <w:tcPr>
            <w:tcW w:w="7938" w:type="dxa"/>
            <w:tcBorders>
              <w:top w:val="single" w:color="auto" w:sz="6" w:space="0"/>
              <w:left w:val="single" w:color="auto" w:sz="6" w:space="0"/>
              <w:bottom w:val="single" w:color="auto" w:sz="6" w:space="0"/>
              <w:right w:val="single" w:color="auto" w:sz="6" w:space="0"/>
              <w:tl2br w:val="nil"/>
              <w:tr2bl w:val="nil"/>
            </w:tcBorders>
            <w:shd w:val="clear" w:color="auto" w:fill="auto"/>
          </w:tcPr>
          <w:p w14:paraId="7C6ABB12">
            <w:pPr>
              <w:rPr>
                <w:rFonts w:ascii="仿宋" w:hAnsi="仿宋" w:eastAsia="仿宋" w:cs="仿宋"/>
                <w:color w:val="000000"/>
              </w:rPr>
            </w:pPr>
            <w:r>
              <w:rPr>
                <w:rFonts w:hint="eastAsia" w:ascii="仿宋" w:hAnsi="仿宋" w:eastAsia="仿宋" w:cs="仿宋"/>
                <w:color w:val="FF0000"/>
              </w:rPr>
              <w:t>支持内核和核外统一访问控制安全框架KYSEC，提供加盖厂商公章截图证明。</w:t>
            </w:r>
          </w:p>
        </w:tc>
      </w:tr>
      <w:tr w14:paraId="3853943A">
        <w:tblPrEx>
          <w:tblCellMar>
            <w:top w:w="0" w:type="dxa"/>
            <w:left w:w="108" w:type="dxa"/>
            <w:bottom w:w="0" w:type="dxa"/>
            <w:right w:w="108" w:type="dxa"/>
          </w:tblCellMar>
        </w:tblPrEx>
        <w:trPr>
          <w:trHeight w:val="235" w:hRule="atLeast"/>
        </w:trPr>
        <w:tc>
          <w:tcPr>
            <w:tcW w:w="1059" w:type="dxa"/>
            <w:tcBorders>
              <w:top w:val="single" w:color="auto" w:sz="6" w:space="0"/>
              <w:left w:val="single" w:color="auto" w:sz="12" w:space="0"/>
              <w:bottom w:val="single" w:color="auto" w:sz="6" w:space="0"/>
              <w:right w:val="single" w:color="auto" w:sz="6" w:space="0"/>
              <w:tl2br w:val="nil"/>
              <w:tr2bl w:val="nil"/>
            </w:tcBorders>
            <w:shd w:val="clear" w:color="auto" w:fill="auto"/>
          </w:tcPr>
          <w:p w14:paraId="46021DBD">
            <w:pPr>
              <w:jc w:val="center"/>
              <w:rPr>
                <w:rFonts w:ascii="仿宋" w:hAnsi="仿宋" w:eastAsia="仿宋" w:cs="仿宋"/>
                <w:color w:val="000000"/>
              </w:rPr>
            </w:pPr>
            <w:r>
              <w:rPr>
                <w:rFonts w:hint="eastAsia" w:ascii="仿宋" w:hAnsi="仿宋" w:eastAsia="仿宋" w:cs="仿宋"/>
                <w:color w:val="000000"/>
              </w:rPr>
              <w:t>10</w:t>
            </w:r>
          </w:p>
        </w:tc>
        <w:tc>
          <w:tcPr>
            <w:tcW w:w="7938" w:type="dxa"/>
            <w:tcBorders>
              <w:top w:val="single" w:color="auto" w:sz="6" w:space="0"/>
              <w:left w:val="single" w:color="auto" w:sz="6" w:space="0"/>
              <w:bottom w:val="single" w:color="auto" w:sz="6" w:space="0"/>
              <w:right w:val="single" w:color="auto" w:sz="6" w:space="0"/>
              <w:tl2br w:val="nil"/>
              <w:tr2bl w:val="nil"/>
            </w:tcBorders>
            <w:shd w:val="clear" w:color="auto" w:fill="auto"/>
          </w:tcPr>
          <w:p w14:paraId="3E0DF3ED">
            <w:pPr>
              <w:rPr>
                <w:rFonts w:ascii="仿宋" w:hAnsi="仿宋" w:eastAsia="仿宋" w:cs="仿宋"/>
                <w:color w:val="000000"/>
              </w:rPr>
            </w:pPr>
            <w:r>
              <w:rPr>
                <w:rFonts w:hint="eastAsia" w:ascii="仿宋" w:hAnsi="仿宋" w:eastAsia="仿宋" w:cs="仿宋"/>
                <w:color w:val="000000"/>
              </w:rPr>
              <w:t>系统可支持强制访问控制，并可提供多种强制访问控制联合加载，包括SELINUX、APPARMOR等。</w:t>
            </w:r>
          </w:p>
        </w:tc>
      </w:tr>
      <w:tr w14:paraId="13DEEB6D">
        <w:tblPrEx>
          <w:tblCellMar>
            <w:top w:w="0" w:type="dxa"/>
            <w:left w:w="108" w:type="dxa"/>
            <w:bottom w:w="0" w:type="dxa"/>
            <w:right w:w="108" w:type="dxa"/>
          </w:tblCellMar>
        </w:tblPrEx>
        <w:trPr>
          <w:trHeight w:val="1050"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796A59B2">
            <w:pPr>
              <w:jc w:val="center"/>
              <w:rPr>
                <w:rFonts w:ascii="仿宋" w:hAnsi="仿宋" w:eastAsia="仿宋" w:cs="仿宋"/>
                <w:color w:val="000000"/>
              </w:rPr>
            </w:pPr>
            <w:r>
              <w:rPr>
                <w:rFonts w:hint="eastAsia" w:ascii="仿宋" w:hAnsi="仿宋" w:eastAsia="仿宋" w:cs="仿宋"/>
                <w:color w:val="000000"/>
              </w:rPr>
              <w:t>11</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1B011713">
            <w:pPr>
              <w:rPr>
                <w:rFonts w:ascii="仿宋" w:hAnsi="仿宋" w:eastAsia="仿宋" w:cs="仿宋"/>
                <w:color w:val="000000"/>
              </w:rPr>
            </w:pPr>
            <w:r>
              <w:rPr>
                <w:rFonts w:hint="eastAsia" w:ascii="仿宋" w:hAnsi="仿宋" w:eastAsia="仿宋" w:cs="仿宋"/>
                <w:color w:val="000000"/>
              </w:rPr>
              <w:t>支持系统图形登录功能策略、三权分立功能策略、审计服务策略、执行控制功能策略、白名单功能策略、kvm/lxc 等系统功能策略、系统使用修订桌面常用工具策略、系统启动时自动标记脚本功能。</w:t>
            </w:r>
          </w:p>
        </w:tc>
      </w:tr>
      <w:tr w14:paraId="22F4A9D1">
        <w:tblPrEx>
          <w:tblCellMar>
            <w:top w:w="0" w:type="dxa"/>
            <w:left w:w="108" w:type="dxa"/>
            <w:bottom w:w="0" w:type="dxa"/>
            <w:right w:w="108" w:type="dxa"/>
          </w:tblCellMar>
        </w:tblPrEx>
        <w:trPr>
          <w:trHeight w:val="38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69FA7EED">
            <w:pPr>
              <w:jc w:val="center"/>
              <w:rPr>
                <w:rFonts w:ascii="仿宋" w:hAnsi="仿宋" w:eastAsia="仿宋" w:cs="仿宋"/>
                <w:color w:val="000000"/>
              </w:rPr>
            </w:pPr>
            <w:r>
              <w:rPr>
                <w:rFonts w:hint="eastAsia" w:ascii="仿宋" w:hAnsi="仿宋" w:eastAsia="仿宋" w:cs="仿宋"/>
                <w:color w:val="000000"/>
              </w:rPr>
              <w:t>12</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51577371">
            <w:pPr>
              <w:rPr>
                <w:rFonts w:ascii="仿宋" w:hAnsi="仿宋" w:eastAsia="仿宋" w:cs="仿宋"/>
                <w:color w:val="000000"/>
              </w:rPr>
            </w:pPr>
            <w:r>
              <w:rPr>
                <w:rFonts w:hint="eastAsia" w:ascii="仿宋" w:hAnsi="仿宋" w:eastAsia="仿宋" w:cs="仿宋"/>
                <w:color w:val="000000"/>
              </w:rPr>
              <w:t>支持Ext3、Ext4、Ext2、NTFS、GFS2、XFS、VFAT、GFS、OCFS2、LVM2、SOFT RAID等文件系统。</w:t>
            </w:r>
          </w:p>
        </w:tc>
      </w:tr>
      <w:tr w14:paraId="53C59983">
        <w:tblPrEx>
          <w:tblCellMar>
            <w:top w:w="0" w:type="dxa"/>
            <w:left w:w="108" w:type="dxa"/>
            <w:bottom w:w="0" w:type="dxa"/>
            <w:right w:w="108" w:type="dxa"/>
          </w:tblCellMar>
        </w:tblPrEx>
        <w:trPr>
          <w:trHeight w:val="38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1F2382C1">
            <w:pPr>
              <w:jc w:val="center"/>
              <w:rPr>
                <w:rFonts w:ascii="仿宋" w:hAnsi="仿宋" w:eastAsia="仿宋" w:cs="仿宋"/>
                <w:color w:val="000000"/>
              </w:rPr>
            </w:pPr>
            <w:r>
              <w:rPr>
                <w:rFonts w:hint="eastAsia" w:ascii="仿宋" w:hAnsi="仿宋" w:eastAsia="仿宋" w:cs="仿宋"/>
                <w:color w:val="000000"/>
              </w:rPr>
              <w:t>13</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536E9136">
            <w:pPr>
              <w:rPr>
                <w:rFonts w:ascii="仿宋" w:hAnsi="仿宋" w:eastAsia="仿宋" w:cs="仿宋"/>
                <w:color w:val="000000"/>
              </w:rPr>
            </w:pPr>
            <w:r>
              <w:rPr>
                <w:rFonts w:hint="eastAsia" w:ascii="仿宋" w:hAnsi="仿宋" w:eastAsia="仿宋" w:cs="仿宋"/>
                <w:color w:val="000000"/>
              </w:rPr>
              <w:t>优化支持、OpenStack、Ceph、GlusterFS、k8s等原生技术生态，实现对虚拟化、容器、云平台、大数据等云原生应用的良好支持。</w:t>
            </w:r>
          </w:p>
        </w:tc>
      </w:tr>
      <w:tr w14:paraId="531438DD">
        <w:tblPrEx>
          <w:tblCellMar>
            <w:top w:w="0" w:type="dxa"/>
            <w:left w:w="108" w:type="dxa"/>
            <w:bottom w:w="0" w:type="dxa"/>
            <w:right w:w="108" w:type="dxa"/>
          </w:tblCellMar>
        </w:tblPrEx>
        <w:trPr>
          <w:trHeight w:val="38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5E9F08B6">
            <w:pPr>
              <w:jc w:val="center"/>
              <w:rPr>
                <w:rFonts w:ascii="仿宋" w:hAnsi="仿宋" w:eastAsia="仿宋" w:cs="仿宋"/>
                <w:color w:val="000000"/>
              </w:rPr>
            </w:pPr>
            <w:r>
              <w:rPr>
                <w:rFonts w:hint="eastAsia" w:ascii="仿宋" w:hAnsi="仿宋" w:eastAsia="仿宋" w:cs="仿宋"/>
                <w:color w:val="000000"/>
              </w:rPr>
              <w:t>14</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19970E81">
            <w:pPr>
              <w:rPr>
                <w:rFonts w:ascii="仿宋" w:hAnsi="仿宋" w:eastAsia="仿宋" w:cs="仿宋"/>
                <w:color w:val="000000"/>
              </w:rPr>
            </w:pPr>
            <w:r>
              <w:rPr>
                <w:rFonts w:hint="eastAsia" w:ascii="仿宋" w:hAnsi="仿宋" w:eastAsia="仿宋" w:cs="仿宋"/>
                <w:color w:val="000000"/>
              </w:rPr>
              <w:t>兼容中创、东方通、金蝶、普元、宝兰德、华宇或等同中间件。</w:t>
            </w:r>
          </w:p>
        </w:tc>
      </w:tr>
      <w:tr w14:paraId="54BFE559">
        <w:tblPrEx>
          <w:tblCellMar>
            <w:top w:w="0" w:type="dxa"/>
            <w:left w:w="108" w:type="dxa"/>
            <w:bottom w:w="0" w:type="dxa"/>
            <w:right w:w="108" w:type="dxa"/>
          </w:tblCellMar>
        </w:tblPrEx>
        <w:trPr>
          <w:trHeight w:val="38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49D6537F">
            <w:pPr>
              <w:jc w:val="center"/>
              <w:rPr>
                <w:rFonts w:ascii="仿宋" w:hAnsi="仿宋" w:eastAsia="仿宋" w:cs="仿宋"/>
                <w:color w:val="000000"/>
              </w:rPr>
            </w:pPr>
            <w:r>
              <w:rPr>
                <w:rFonts w:hint="eastAsia" w:ascii="仿宋" w:hAnsi="仿宋" w:eastAsia="仿宋" w:cs="仿宋"/>
                <w:color w:val="000000"/>
              </w:rPr>
              <w:t>15</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5281B314">
            <w:pPr>
              <w:rPr>
                <w:rFonts w:ascii="仿宋" w:hAnsi="仿宋" w:eastAsia="仿宋" w:cs="仿宋"/>
                <w:color w:val="000000"/>
              </w:rPr>
            </w:pPr>
            <w:r>
              <w:rPr>
                <w:rFonts w:hint="eastAsia" w:ascii="仿宋" w:hAnsi="仿宋" w:eastAsia="仿宋" w:cs="仿宋"/>
                <w:color w:val="000000"/>
              </w:rPr>
              <w:t>兼容人大金仓KingbaseES、达梦、神舟通用、南大通用或等同数据库。</w:t>
            </w:r>
          </w:p>
        </w:tc>
      </w:tr>
      <w:tr w14:paraId="6D000591">
        <w:tblPrEx>
          <w:tblCellMar>
            <w:top w:w="0" w:type="dxa"/>
            <w:left w:w="108" w:type="dxa"/>
            <w:bottom w:w="0" w:type="dxa"/>
            <w:right w:w="108" w:type="dxa"/>
          </w:tblCellMar>
        </w:tblPrEx>
        <w:trPr>
          <w:trHeight w:val="38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60CE746D">
            <w:pPr>
              <w:rPr>
                <w:rFonts w:ascii="仿宋" w:hAnsi="仿宋" w:eastAsia="仿宋" w:cs="仿宋"/>
                <w:color w:val="000000"/>
              </w:rPr>
            </w:pPr>
          </w:p>
        </w:tc>
        <w:tc>
          <w:tcPr>
            <w:tcW w:w="7938" w:type="dxa"/>
            <w:tcBorders>
              <w:top w:val="single" w:color="auto" w:sz="6" w:space="0"/>
              <w:left w:val="single" w:color="auto" w:sz="6" w:space="0"/>
              <w:bottom w:val="single" w:color="auto" w:sz="6" w:space="0"/>
              <w:right w:val="single" w:color="auto" w:sz="6" w:space="0"/>
              <w:tl2br w:val="nil"/>
              <w:tr2bl w:val="nil"/>
            </w:tcBorders>
          </w:tcPr>
          <w:p w14:paraId="4620A252">
            <w:pPr>
              <w:rPr>
                <w:rFonts w:ascii="仿宋" w:hAnsi="仿宋" w:eastAsia="仿宋" w:cs="仿宋"/>
                <w:color w:val="000000"/>
              </w:rPr>
            </w:pPr>
            <w:r>
              <w:rPr>
                <w:rFonts w:hint="eastAsia" w:ascii="仿宋" w:hAnsi="仿宋" w:eastAsia="仿宋" w:cs="仿宋"/>
                <w:color w:val="000000"/>
              </w:rPr>
              <w:t>支持主流云平台华为云、阿里云、腾讯云等。</w:t>
            </w:r>
          </w:p>
        </w:tc>
      </w:tr>
      <w:tr w14:paraId="77975340">
        <w:tblPrEx>
          <w:tblCellMar>
            <w:top w:w="0" w:type="dxa"/>
            <w:left w:w="108" w:type="dxa"/>
            <w:bottom w:w="0" w:type="dxa"/>
            <w:right w:w="108" w:type="dxa"/>
          </w:tblCellMar>
        </w:tblPrEx>
        <w:trPr>
          <w:trHeight w:val="38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34E28D74">
            <w:pPr>
              <w:jc w:val="center"/>
              <w:rPr>
                <w:rFonts w:ascii="仿宋" w:hAnsi="仿宋" w:eastAsia="仿宋" w:cs="仿宋"/>
                <w:color w:val="000000"/>
              </w:rPr>
            </w:pPr>
            <w:r>
              <w:rPr>
                <w:rFonts w:hint="eastAsia" w:ascii="仿宋" w:hAnsi="仿宋" w:eastAsia="仿宋" w:cs="仿宋"/>
                <w:color w:val="000000"/>
              </w:rPr>
              <w:t>16</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6A9F2D3C">
            <w:pPr>
              <w:rPr>
                <w:rFonts w:ascii="仿宋" w:hAnsi="仿宋" w:eastAsia="仿宋" w:cs="仿宋"/>
                <w:color w:val="000000"/>
              </w:rPr>
            </w:pPr>
            <w:r>
              <w:rPr>
                <w:rFonts w:hint="eastAsia" w:ascii="仿宋" w:hAnsi="仿宋" w:eastAsia="仿宋" w:cs="仿宋"/>
                <w:color w:val="000000"/>
              </w:rPr>
              <w:t>支持网卡绑定配置，支持轮询模式、主备模式。</w:t>
            </w:r>
          </w:p>
        </w:tc>
      </w:tr>
      <w:tr w14:paraId="3B794540">
        <w:tblPrEx>
          <w:tblCellMar>
            <w:top w:w="0" w:type="dxa"/>
            <w:left w:w="108" w:type="dxa"/>
            <w:bottom w:w="0" w:type="dxa"/>
            <w:right w:w="108" w:type="dxa"/>
          </w:tblCellMar>
        </w:tblPrEx>
        <w:trPr>
          <w:trHeight w:val="38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0361B324">
            <w:pPr>
              <w:jc w:val="center"/>
              <w:rPr>
                <w:rFonts w:ascii="仿宋" w:hAnsi="仿宋" w:eastAsia="仿宋" w:cs="仿宋"/>
                <w:color w:val="000000"/>
              </w:rPr>
            </w:pPr>
            <w:r>
              <w:rPr>
                <w:rFonts w:hint="eastAsia" w:ascii="仿宋" w:hAnsi="仿宋" w:eastAsia="仿宋" w:cs="仿宋"/>
                <w:color w:val="000000"/>
              </w:rPr>
              <w:t>17</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78324475">
            <w:pPr>
              <w:rPr>
                <w:rFonts w:ascii="仿宋" w:hAnsi="仿宋" w:eastAsia="仿宋" w:cs="仿宋"/>
                <w:color w:val="000000"/>
              </w:rPr>
            </w:pPr>
            <w:r>
              <w:rPr>
                <w:rFonts w:hint="eastAsia" w:ascii="仿宋" w:hAnsi="仿宋" w:eastAsia="仿宋" w:cs="仿宋"/>
                <w:color w:val="000000"/>
              </w:rPr>
              <w:t>内置支持快速块设备作为慢速块设备缓存以加速IO；支持swap压缩以减少IO并提高性能；支持FCoE、iSCSI；支持Ceph块设备。</w:t>
            </w:r>
          </w:p>
        </w:tc>
      </w:tr>
      <w:tr w14:paraId="55C7E9CF">
        <w:tblPrEx>
          <w:tblCellMar>
            <w:top w:w="0" w:type="dxa"/>
            <w:left w:w="108" w:type="dxa"/>
            <w:bottom w:w="0" w:type="dxa"/>
            <w:right w:w="108" w:type="dxa"/>
          </w:tblCellMar>
        </w:tblPrEx>
        <w:trPr>
          <w:trHeight w:val="38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36626EC2">
            <w:pPr>
              <w:jc w:val="center"/>
              <w:rPr>
                <w:rFonts w:ascii="仿宋" w:hAnsi="仿宋" w:eastAsia="仿宋" w:cs="仿宋"/>
                <w:color w:val="000000"/>
              </w:rPr>
            </w:pPr>
            <w:r>
              <w:rPr>
                <w:rFonts w:hint="eastAsia" w:ascii="仿宋" w:hAnsi="仿宋" w:eastAsia="仿宋" w:cs="仿宋"/>
                <w:color w:val="000000"/>
              </w:rPr>
              <w:t>18</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2269F425">
            <w:pPr>
              <w:rPr>
                <w:rFonts w:ascii="仿宋" w:hAnsi="仿宋" w:eastAsia="仿宋" w:cs="仿宋"/>
                <w:color w:val="000000"/>
              </w:rPr>
            </w:pPr>
            <w:r>
              <w:rPr>
                <w:rFonts w:hint="eastAsia" w:ascii="仿宋" w:hAnsi="仿宋" w:eastAsia="仿宋" w:cs="仿宋"/>
                <w:color w:val="000000"/>
              </w:rPr>
              <w:t>系统提供图形化日志收集工具，可以收集系统日志、内核日志、启动日志、应用日志等，提供按时间周期和日志级别的过滤功能，并可导出日志文件。</w:t>
            </w:r>
          </w:p>
        </w:tc>
      </w:tr>
      <w:tr w14:paraId="5181635F">
        <w:tblPrEx>
          <w:tblCellMar>
            <w:top w:w="0" w:type="dxa"/>
            <w:left w:w="108" w:type="dxa"/>
            <w:bottom w:w="0" w:type="dxa"/>
            <w:right w:w="108" w:type="dxa"/>
          </w:tblCellMar>
        </w:tblPrEx>
        <w:trPr>
          <w:trHeight w:val="38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71619724">
            <w:pPr>
              <w:jc w:val="center"/>
              <w:rPr>
                <w:rFonts w:ascii="仿宋" w:hAnsi="仿宋" w:eastAsia="仿宋" w:cs="仿宋"/>
                <w:color w:val="000000"/>
              </w:rPr>
            </w:pPr>
            <w:r>
              <w:rPr>
                <w:rFonts w:hint="eastAsia" w:ascii="仿宋" w:hAnsi="仿宋" w:eastAsia="仿宋" w:cs="仿宋"/>
                <w:color w:val="000000"/>
              </w:rPr>
              <w:t>19</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677A14EB">
            <w:pPr>
              <w:rPr>
                <w:rFonts w:ascii="仿宋" w:hAnsi="仿宋" w:eastAsia="仿宋" w:cs="仿宋"/>
                <w:color w:val="000000"/>
              </w:rPr>
            </w:pPr>
            <w:r>
              <w:rPr>
                <w:rFonts w:hint="eastAsia" w:ascii="仿宋" w:hAnsi="仿宋" w:eastAsia="仿宋" w:cs="仿宋"/>
                <w:color w:val="000000"/>
              </w:rPr>
              <w:t>提供官方YUM源在线更新下载。</w:t>
            </w:r>
          </w:p>
        </w:tc>
      </w:tr>
      <w:tr w14:paraId="6AB29A86">
        <w:tblPrEx>
          <w:tblCellMar>
            <w:top w:w="0" w:type="dxa"/>
            <w:left w:w="108" w:type="dxa"/>
            <w:bottom w:w="0" w:type="dxa"/>
            <w:right w:w="108" w:type="dxa"/>
          </w:tblCellMar>
        </w:tblPrEx>
        <w:trPr>
          <w:trHeight w:val="38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6BCE11D8">
            <w:pPr>
              <w:jc w:val="center"/>
              <w:rPr>
                <w:rFonts w:ascii="仿宋" w:hAnsi="仿宋" w:eastAsia="仿宋" w:cs="仿宋"/>
                <w:color w:val="000000"/>
              </w:rPr>
            </w:pPr>
            <w:r>
              <w:rPr>
                <w:rFonts w:hint="eastAsia" w:ascii="仿宋" w:hAnsi="仿宋" w:eastAsia="仿宋" w:cs="仿宋"/>
                <w:color w:val="000000"/>
              </w:rPr>
              <w:t>20</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2B1F4BFB">
            <w:pPr>
              <w:rPr>
                <w:rFonts w:ascii="仿宋" w:hAnsi="仿宋" w:eastAsia="仿宋" w:cs="仿宋"/>
                <w:color w:val="000000"/>
              </w:rPr>
            </w:pPr>
            <w:r>
              <w:rPr>
                <w:rFonts w:hint="eastAsia" w:ascii="仿宋" w:hAnsi="仿宋" w:eastAsia="仿宋" w:cs="仿宋"/>
                <w:color w:val="000000"/>
              </w:rPr>
              <w:t>提供丰富的开发工具,支持 Java, C, C++, Python, Perl, Shell, Ruby, PHP等编程语言。</w:t>
            </w:r>
          </w:p>
        </w:tc>
      </w:tr>
      <w:tr w14:paraId="76A2932C">
        <w:tblPrEx>
          <w:tblCellMar>
            <w:top w:w="0" w:type="dxa"/>
            <w:left w:w="108" w:type="dxa"/>
            <w:bottom w:w="0" w:type="dxa"/>
            <w:right w:w="108" w:type="dxa"/>
          </w:tblCellMar>
        </w:tblPrEx>
        <w:trPr>
          <w:trHeight w:val="73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60DEE550">
            <w:pPr>
              <w:jc w:val="center"/>
              <w:rPr>
                <w:rFonts w:ascii="仿宋" w:hAnsi="仿宋" w:eastAsia="仿宋" w:cs="仿宋"/>
                <w:color w:val="000000"/>
              </w:rPr>
            </w:pPr>
            <w:r>
              <w:rPr>
                <w:rFonts w:hint="eastAsia" w:ascii="仿宋" w:hAnsi="仿宋" w:eastAsia="仿宋" w:cs="仿宋"/>
                <w:color w:val="000000"/>
              </w:rPr>
              <w:t>21</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1E6A7F4E">
            <w:pPr>
              <w:rPr>
                <w:rFonts w:ascii="仿宋" w:hAnsi="仿宋" w:eastAsia="仿宋" w:cs="仿宋"/>
                <w:color w:val="000000"/>
              </w:rPr>
            </w:pPr>
            <w:r>
              <w:rPr>
                <w:rFonts w:hint="eastAsia" w:ascii="仿宋" w:hAnsi="仿宋" w:eastAsia="仿宋" w:cs="仿宋"/>
                <w:color w:val="000000"/>
              </w:rPr>
              <w:t>提供OpenLMI以简化任务配置及服务器管理，提供Cockpit管理工具；提供图形化的远程桌面查看工具，支持SSH、SPICE、VNC、RDP协议。</w:t>
            </w:r>
          </w:p>
        </w:tc>
      </w:tr>
      <w:tr w14:paraId="55334849">
        <w:tblPrEx>
          <w:tblCellMar>
            <w:top w:w="0" w:type="dxa"/>
            <w:left w:w="108" w:type="dxa"/>
            <w:bottom w:w="0" w:type="dxa"/>
            <w:right w:w="108" w:type="dxa"/>
          </w:tblCellMar>
        </w:tblPrEx>
        <w:trPr>
          <w:trHeight w:val="25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55F4F5E5">
            <w:pPr>
              <w:jc w:val="center"/>
              <w:rPr>
                <w:rFonts w:ascii="仿宋" w:hAnsi="仿宋" w:eastAsia="仿宋" w:cs="仿宋"/>
                <w:color w:val="000000"/>
              </w:rPr>
            </w:pPr>
            <w:r>
              <w:rPr>
                <w:rFonts w:hint="eastAsia" w:ascii="仿宋" w:hAnsi="仿宋" w:eastAsia="仿宋" w:cs="仿宋"/>
                <w:color w:val="000000"/>
              </w:rPr>
              <w:t>22</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1E4EEEFE">
            <w:pPr>
              <w:rPr>
                <w:rFonts w:ascii="仿宋" w:hAnsi="仿宋" w:eastAsia="仿宋" w:cs="仿宋"/>
                <w:color w:val="000000"/>
              </w:rPr>
            </w:pPr>
            <w:r>
              <w:rPr>
                <w:rFonts w:hint="eastAsia" w:ascii="仿宋" w:hAnsi="仿宋" w:eastAsia="仿宋" w:cs="仿宋"/>
                <w:color w:val="000000"/>
              </w:rPr>
              <w:t>兼容CentOS以及OpenEuler生态。</w:t>
            </w:r>
          </w:p>
        </w:tc>
      </w:tr>
      <w:tr w14:paraId="6945EA08">
        <w:tblPrEx>
          <w:tblCellMar>
            <w:top w:w="0" w:type="dxa"/>
            <w:left w:w="108" w:type="dxa"/>
            <w:bottom w:w="0" w:type="dxa"/>
            <w:right w:w="108" w:type="dxa"/>
          </w:tblCellMar>
        </w:tblPrEx>
        <w:trPr>
          <w:trHeight w:val="28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2B68F356">
            <w:pPr>
              <w:jc w:val="center"/>
              <w:rPr>
                <w:rFonts w:ascii="仿宋" w:hAnsi="仿宋" w:eastAsia="仿宋" w:cs="仿宋"/>
                <w:color w:val="000000"/>
              </w:rPr>
            </w:pPr>
            <w:r>
              <w:rPr>
                <w:rFonts w:hint="eastAsia" w:ascii="仿宋" w:hAnsi="仿宋" w:eastAsia="仿宋" w:cs="仿宋"/>
                <w:color w:val="000000"/>
              </w:rPr>
              <w:t>23</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1E6023B0">
            <w:pPr>
              <w:rPr>
                <w:rFonts w:ascii="仿宋" w:hAnsi="仿宋" w:eastAsia="仿宋" w:cs="仿宋"/>
                <w:color w:val="000000"/>
              </w:rPr>
            </w:pPr>
            <w:r>
              <w:rPr>
                <w:rFonts w:hint="eastAsia" w:ascii="仿宋" w:hAnsi="仿宋" w:eastAsia="仿宋" w:cs="仿宋"/>
                <w:color w:val="000000"/>
              </w:rPr>
              <w:t>兼容国内外主流的服务器、存储、板卡等硬件产品。</w:t>
            </w:r>
          </w:p>
        </w:tc>
      </w:tr>
      <w:tr w14:paraId="06223AF5">
        <w:tblPrEx>
          <w:tblCellMar>
            <w:top w:w="0" w:type="dxa"/>
            <w:left w:w="108" w:type="dxa"/>
            <w:bottom w:w="0" w:type="dxa"/>
            <w:right w:w="108" w:type="dxa"/>
          </w:tblCellMar>
        </w:tblPrEx>
        <w:trPr>
          <w:trHeight w:val="315"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3A301F9B">
            <w:pPr>
              <w:jc w:val="center"/>
              <w:rPr>
                <w:rFonts w:ascii="仿宋" w:hAnsi="仿宋" w:eastAsia="仿宋" w:cs="仿宋"/>
                <w:color w:val="000000"/>
              </w:rPr>
            </w:pPr>
            <w:r>
              <w:rPr>
                <w:rFonts w:hint="eastAsia" w:ascii="仿宋" w:hAnsi="仿宋" w:eastAsia="仿宋" w:cs="仿宋"/>
                <w:color w:val="000000"/>
              </w:rPr>
              <w:t>24</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27D7353D">
            <w:pPr>
              <w:rPr>
                <w:rFonts w:ascii="仿宋" w:hAnsi="仿宋" w:eastAsia="仿宋" w:cs="仿宋"/>
                <w:color w:val="000000"/>
              </w:rPr>
            </w:pPr>
            <w:r>
              <w:rPr>
                <w:rFonts w:hint="eastAsia" w:ascii="仿宋" w:hAnsi="仿宋" w:eastAsia="仿宋" w:cs="仿宋"/>
                <w:color w:val="000000"/>
              </w:rPr>
              <w:t>兼容适配国产芯片架构整机服务器。</w:t>
            </w:r>
          </w:p>
        </w:tc>
      </w:tr>
      <w:tr w14:paraId="63B54FC5">
        <w:tblPrEx>
          <w:tblCellMar>
            <w:top w:w="0" w:type="dxa"/>
            <w:left w:w="108" w:type="dxa"/>
            <w:bottom w:w="0" w:type="dxa"/>
            <w:right w:w="108" w:type="dxa"/>
          </w:tblCellMar>
        </w:tblPrEx>
        <w:trPr>
          <w:trHeight w:val="431" w:hRule="atLeast"/>
        </w:trPr>
        <w:tc>
          <w:tcPr>
            <w:tcW w:w="1059" w:type="dxa"/>
            <w:tcBorders>
              <w:top w:val="single" w:color="auto" w:sz="6" w:space="0"/>
              <w:left w:val="single" w:color="auto" w:sz="12" w:space="0"/>
              <w:bottom w:val="single" w:color="auto" w:sz="6" w:space="0"/>
              <w:right w:val="single" w:color="auto" w:sz="6" w:space="0"/>
              <w:tl2br w:val="nil"/>
              <w:tr2bl w:val="nil"/>
            </w:tcBorders>
          </w:tcPr>
          <w:p w14:paraId="6A3C7BA7">
            <w:pPr>
              <w:jc w:val="center"/>
              <w:rPr>
                <w:rFonts w:ascii="仿宋" w:hAnsi="仿宋" w:eastAsia="仿宋" w:cs="仿宋"/>
                <w:color w:val="000000"/>
              </w:rPr>
            </w:pPr>
            <w:r>
              <w:rPr>
                <w:rFonts w:hint="eastAsia" w:ascii="仿宋" w:hAnsi="仿宋" w:eastAsia="仿宋" w:cs="仿宋"/>
                <w:color w:val="000000"/>
              </w:rPr>
              <w:t>25</w:t>
            </w:r>
          </w:p>
        </w:tc>
        <w:tc>
          <w:tcPr>
            <w:tcW w:w="7938" w:type="dxa"/>
            <w:tcBorders>
              <w:top w:val="single" w:color="auto" w:sz="6" w:space="0"/>
              <w:left w:val="single" w:color="auto" w:sz="6" w:space="0"/>
              <w:bottom w:val="single" w:color="auto" w:sz="6" w:space="0"/>
              <w:right w:val="single" w:color="auto" w:sz="6" w:space="0"/>
              <w:tl2br w:val="nil"/>
              <w:tr2bl w:val="nil"/>
            </w:tcBorders>
          </w:tcPr>
          <w:p w14:paraId="70F78BA6">
            <w:pPr>
              <w:rPr>
                <w:rFonts w:ascii="仿宋" w:hAnsi="仿宋" w:eastAsia="仿宋" w:cs="仿宋"/>
                <w:color w:val="000000"/>
              </w:rPr>
            </w:pPr>
            <w:r>
              <w:rPr>
                <w:rFonts w:hint="eastAsia" w:ascii="仿宋" w:hAnsi="仿宋" w:eastAsia="仿宋" w:cs="仿宋"/>
                <w:color w:val="000000"/>
              </w:rPr>
              <w:t>支持HTTP、FTP、VNC、TCP/IP、UDP、IPv4、IPv6、SMTP、BFTP、DNS、NFS、NTP、DHCP、SSH等多种网络协议。</w:t>
            </w:r>
          </w:p>
        </w:tc>
      </w:tr>
      <w:tr w14:paraId="75703A8B">
        <w:tblPrEx>
          <w:tblCellMar>
            <w:top w:w="0" w:type="dxa"/>
            <w:left w:w="108" w:type="dxa"/>
            <w:bottom w:w="0" w:type="dxa"/>
            <w:right w:w="108" w:type="dxa"/>
          </w:tblCellMar>
        </w:tblPrEx>
        <w:trPr>
          <w:trHeight w:val="405" w:hRule="atLeast"/>
        </w:trPr>
        <w:tc>
          <w:tcPr>
            <w:tcW w:w="1059" w:type="dxa"/>
            <w:tcBorders>
              <w:top w:val="single" w:color="auto" w:sz="6" w:space="0"/>
              <w:left w:val="single" w:color="auto" w:sz="12" w:space="0"/>
              <w:bottom w:val="single" w:color="auto" w:sz="6" w:space="0"/>
              <w:right w:val="single" w:color="auto" w:sz="6" w:space="0"/>
              <w:tl2br w:val="nil"/>
              <w:tr2bl w:val="nil"/>
            </w:tcBorders>
            <w:shd w:val="clear" w:color="auto" w:fill="auto"/>
          </w:tcPr>
          <w:p w14:paraId="3DC22B22">
            <w:pPr>
              <w:jc w:val="center"/>
              <w:rPr>
                <w:rFonts w:ascii="仿宋" w:hAnsi="仿宋" w:eastAsia="仿宋" w:cs="仿宋"/>
                <w:color w:val="000000"/>
              </w:rPr>
            </w:pPr>
            <w:r>
              <w:rPr>
                <w:rFonts w:hint="eastAsia" w:ascii="仿宋" w:hAnsi="仿宋" w:eastAsia="仿宋" w:cs="仿宋"/>
                <w:color w:val="000000"/>
              </w:rPr>
              <w:t>26</w:t>
            </w:r>
          </w:p>
        </w:tc>
        <w:tc>
          <w:tcPr>
            <w:tcW w:w="7938" w:type="dxa"/>
            <w:tcBorders>
              <w:top w:val="single" w:color="auto" w:sz="6" w:space="0"/>
              <w:left w:val="single" w:color="auto" w:sz="6" w:space="0"/>
              <w:bottom w:val="single" w:color="auto" w:sz="6" w:space="0"/>
              <w:right w:val="single" w:color="auto" w:sz="6" w:space="0"/>
              <w:tl2br w:val="nil"/>
              <w:tr2bl w:val="nil"/>
            </w:tcBorders>
            <w:shd w:val="clear" w:color="auto" w:fill="auto"/>
          </w:tcPr>
          <w:p w14:paraId="05284874">
            <w:pPr>
              <w:rPr>
                <w:rFonts w:ascii="仿宋" w:hAnsi="仿宋" w:eastAsia="仿宋" w:cs="仿宋"/>
                <w:color w:val="000000"/>
              </w:rPr>
            </w:pPr>
            <w:r>
              <w:rPr>
                <w:rFonts w:hint="eastAsia" w:ascii="仿宋" w:hAnsi="仿宋" w:eastAsia="仿宋" w:cs="仿宋"/>
                <w:color w:val="FF0000"/>
              </w:rPr>
              <w:t>支持RPM软件包管理工具DNF，提供RPM到DEB包格式转换工具，提供RPM到DEB包管理器转换工具，提供加盖厂商公章软件著作权证书。</w:t>
            </w:r>
          </w:p>
        </w:tc>
      </w:tr>
      <w:tr w14:paraId="5B07FA52">
        <w:tblPrEx>
          <w:tblCellMar>
            <w:top w:w="0" w:type="dxa"/>
            <w:left w:w="108" w:type="dxa"/>
            <w:bottom w:w="0" w:type="dxa"/>
            <w:right w:w="108" w:type="dxa"/>
          </w:tblCellMar>
        </w:tblPrEx>
        <w:trPr>
          <w:trHeight w:val="405" w:hRule="atLeast"/>
        </w:trPr>
        <w:tc>
          <w:tcPr>
            <w:tcW w:w="1059" w:type="dxa"/>
            <w:tcBorders>
              <w:top w:val="single" w:color="auto" w:sz="6" w:space="0"/>
              <w:left w:val="single" w:color="auto" w:sz="12" w:space="0"/>
              <w:bottom w:val="single" w:color="auto" w:sz="6" w:space="0"/>
              <w:right w:val="single" w:color="auto" w:sz="6" w:space="0"/>
              <w:tl2br w:val="nil"/>
              <w:tr2bl w:val="nil"/>
            </w:tcBorders>
            <w:shd w:val="clear" w:color="auto" w:fill="auto"/>
          </w:tcPr>
          <w:p w14:paraId="6D82CD5F">
            <w:pPr>
              <w:jc w:val="center"/>
              <w:rPr>
                <w:rFonts w:ascii="仿宋" w:hAnsi="仿宋" w:eastAsia="仿宋" w:cs="仿宋"/>
                <w:color w:val="000000"/>
              </w:rPr>
            </w:pPr>
            <w:r>
              <w:rPr>
                <w:rFonts w:hint="eastAsia" w:ascii="仿宋" w:hAnsi="仿宋" w:eastAsia="仿宋" w:cs="仿宋"/>
                <w:color w:val="000000"/>
              </w:rPr>
              <w:t>27</w:t>
            </w:r>
          </w:p>
        </w:tc>
        <w:tc>
          <w:tcPr>
            <w:tcW w:w="7938" w:type="dxa"/>
            <w:tcBorders>
              <w:top w:val="single" w:color="auto" w:sz="6" w:space="0"/>
              <w:left w:val="single" w:color="auto" w:sz="6" w:space="0"/>
              <w:bottom w:val="single" w:color="auto" w:sz="6" w:space="0"/>
              <w:right w:val="single" w:color="auto" w:sz="6" w:space="0"/>
              <w:tl2br w:val="nil"/>
              <w:tr2bl w:val="nil"/>
            </w:tcBorders>
            <w:shd w:val="clear" w:color="auto" w:fill="auto"/>
          </w:tcPr>
          <w:p w14:paraId="7B85E751">
            <w:pPr>
              <w:rPr>
                <w:rFonts w:ascii="仿宋" w:hAnsi="仿宋" w:eastAsia="仿宋" w:cs="仿宋"/>
                <w:color w:val="000000"/>
              </w:rPr>
            </w:pPr>
            <w:r>
              <w:rPr>
                <w:rFonts w:hint="eastAsia" w:ascii="仿宋" w:hAnsi="仿宋" w:eastAsia="仿宋" w:cs="仿宋"/>
                <w:color w:val="FF0000"/>
              </w:rPr>
              <w:t>提供同源涉密内网操作系统产品，满足内网、外网体验一致，提供厂商承诺函。</w:t>
            </w:r>
          </w:p>
        </w:tc>
      </w:tr>
      <w:tr w14:paraId="4A66EBB7">
        <w:tblPrEx>
          <w:tblCellMar>
            <w:top w:w="0" w:type="dxa"/>
            <w:left w:w="108" w:type="dxa"/>
            <w:bottom w:w="0" w:type="dxa"/>
            <w:right w:w="108" w:type="dxa"/>
          </w:tblCellMar>
        </w:tblPrEx>
        <w:trPr>
          <w:trHeight w:val="405" w:hRule="atLeast"/>
        </w:trPr>
        <w:tc>
          <w:tcPr>
            <w:tcW w:w="1059" w:type="dxa"/>
            <w:tcBorders>
              <w:top w:val="single" w:color="auto" w:sz="6" w:space="0"/>
              <w:left w:val="single" w:color="auto" w:sz="12" w:space="0"/>
              <w:bottom w:val="single" w:color="auto" w:sz="6" w:space="0"/>
              <w:right w:val="single" w:color="auto" w:sz="6" w:space="0"/>
              <w:tl2br w:val="nil"/>
              <w:tr2bl w:val="nil"/>
            </w:tcBorders>
            <w:shd w:val="clear" w:color="auto" w:fill="auto"/>
          </w:tcPr>
          <w:p w14:paraId="2F804DF5">
            <w:pPr>
              <w:jc w:val="center"/>
              <w:rPr>
                <w:rFonts w:hint="eastAsia" w:ascii="仿宋" w:hAnsi="仿宋" w:eastAsia="仿宋" w:cs="仿宋"/>
                <w:b/>
                <w:bCs/>
                <w:color w:val="000000"/>
              </w:rPr>
            </w:pPr>
            <w:r>
              <w:rPr>
                <w:rFonts w:hint="eastAsia" w:ascii="仿宋" w:hAnsi="仿宋" w:eastAsia="仿宋" w:cs="仿宋"/>
                <w:b/>
                <w:bCs/>
                <w:color w:val="000000"/>
              </w:rPr>
              <w:t>2</w:t>
            </w:r>
            <w:r>
              <w:rPr>
                <w:rFonts w:ascii="仿宋" w:hAnsi="仿宋" w:eastAsia="仿宋" w:cs="仿宋"/>
                <w:b/>
                <w:bCs/>
                <w:color w:val="000000"/>
              </w:rPr>
              <w:t>8</w:t>
            </w:r>
          </w:p>
        </w:tc>
        <w:tc>
          <w:tcPr>
            <w:tcW w:w="79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14:paraId="683B6A39">
            <w:pPr>
              <w:rPr>
                <w:rFonts w:hint="eastAsia" w:ascii="仿宋" w:hAnsi="仿宋" w:eastAsia="仿宋" w:cs="仿宋"/>
                <w:b/>
                <w:bCs/>
                <w:color w:val="FF0000"/>
              </w:rPr>
            </w:pPr>
            <w:r>
              <w:rPr>
                <w:rFonts w:ascii="仿宋" w:hAnsi="仿宋" w:eastAsia="仿宋"/>
                <w:b/>
                <w:bCs/>
                <w:color w:val="000000"/>
              </w:rPr>
              <w:t>★</w:t>
            </w:r>
            <w:r>
              <w:rPr>
                <w:rFonts w:hint="eastAsia" w:ascii="仿宋" w:hAnsi="仿宋" w:eastAsia="仿宋"/>
                <w:b/>
                <w:bCs/>
                <w:color w:val="000000"/>
              </w:rPr>
              <w:t>所提供操作系统产品具备五年原厂技术支持服务</w:t>
            </w:r>
          </w:p>
        </w:tc>
      </w:tr>
    </w:tbl>
    <w:p w14:paraId="4D38E7E4">
      <w:pPr>
        <w:pStyle w:val="4"/>
      </w:pPr>
    </w:p>
    <w:p w14:paraId="74E2AF95">
      <w:pPr>
        <w:pStyle w:val="4"/>
        <w:rPr>
          <w:rFonts w:hint="eastAsia"/>
        </w:rPr>
      </w:pPr>
    </w:p>
    <w:p w14:paraId="514E8E44">
      <w:pPr>
        <w:pStyle w:val="3"/>
        <w:ind w:firstLine="489"/>
        <w:rPr>
          <w:rFonts w:ascii="仿宋" w:hAnsi="仿宋" w:eastAsia="仿宋"/>
          <w:b w:val="0"/>
          <w:bCs/>
          <w:color w:val="000000"/>
          <w:kern w:val="2"/>
          <w:sz w:val="24"/>
        </w:rPr>
      </w:pPr>
      <w:r>
        <w:rPr>
          <w:rFonts w:hint="eastAsia" w:ascii="仿宋" w:hAnsi="仿宋" w:eastAsia="仿宋"/>
          <w:bCs/>
          <w:color w:val="000000"/>
          <w:kern w:val="2"/>
          <w:sz w:val="24"/>
        </w:rPr>
        <w:t xml:space="preserve"> 技术方案要求</w:t>
      </w:r>
      <w:bookmarkEnd w:id="25"/>
    </w:p>
    <w:p w14:paraId="4DB4B1C6">
      <w:pPr>
        <w:pStyle w:val="5"/>
        <w:rPr>
          <w:rFonts w:ascii="仿宋" w:hAnsi="仿宋" w:eastAsia="仿宋"/>
          <w:color w:val="000000"/>
          <w:kern w:val="2"/>
          <w:sz w:val="24"/>
        </w:rPr>
      </w:pPr>
      <w:bookmarkStart w:id="26" w:name="_Toc129641795"/>
      <w:r>
        <w:rPr>
          <w:rFonts w:hint="eastAsia" w:ascii="仿宋" w:hAnsi="仿宋" w:eastAsia="仿宋"/>
          <w:color w:val="000000"/>
          <w:kern w:val="2"/>
          <w:sz w:val="24"/>
        </w:rPr>
        <w:t xml:space="preserve"> </w:t>
      </w:r>
      <w:r>
        <w:rPr>
          <w:rFonts w:ascii="仿宋" w:hAnsi="仿宋" w:eastAsia="仿宋"/>
          <w:color w:val="000000"/>
          <w:kern w:val="2"/>
          <w:sz w:val="24"/>
        </w:rPr>
        <w:t>数据库安装部署</w:t>
      </w:r>
      <w:r>
        <w:rPr>
          <w:rFonts w:hint="eastAsia" w:ascii="仿宋" w:hAnsi="仿宋" w:eastAsia="仿宋"/>
          <w:color w:val="000000"/>
          <w:kern w:val="2"/>
          <w:sz w:val="24"/>
        </w:rPr>
        <w:t>方案</w:t>
      </w:r>
      <w:bookmarkEnd w:id="26"/>
    </w:p>
    <w:p w14:paraId="7CC7EAB9">
      <w:pPr>
        <w:autoSpaceDE w:val="0"/>
        <w:autoSpaceDN w:val="0"/>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乙方的应答文件应详细包含所投产品的数据库集群部署方案。数据库安装部署方案应包括系统设计规划（如安装要求、安装流程、端口配置）、相应操作系统配置（如防火墙设置、IPC参数设置、时间设置）以及数据库安装等内容。</w:t>
      </w:r>
    </w:p>
    <w:p w14:paraId="0EEE10CB">
      <w:pPr>
        <w:pStyle w:val="5"/>
        <w:rPr>
          <w:rFonts w:ascii="仿宋" w:hAnsi="仿宋" w:eastAsia="仿宋"/>
          <w:color w:val="000000"/>
          <w:kern w:val="2"/>
          <w:sz w:val="24"/>
        </w:rPr>
      </w:pPr>
      <w:bookmarkStart w:id="27" w:name="_Toc129641800"/>
      <w:r>
        <w:rPr>
          <w:rFonts w:ascii="仿宋" w:hAnsi="仿宋" w:eastAsia="仿宋"/>
          <w:color w:val="000000"/>
          <w:kern w:val="2"/>
          <w:sz w:val="24"/>
        </w:rPr>
        <w:t>数据库应急预案</w:t>
      </w:r>
      <w:bookmarkEnd w:id="27"/>
    </w:p>
    <w:p w14:paraId="65751DC1">
      <w:pPr>
        <w:autoSpaceDE w:val="0"/>
        <w:autoSpaceDN w:val="0"/>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乙方的应答文件应详细包含所投产品的数据库应急预案。内容应包括但不限于操作系统性能异常、数据库实例异常、数据库对象异常、数据库文件异常、数据库性能异常和数据库高可用性异常的常见原因及解决方案。</w:t>
      </w:r>
    </w:p>
    <w:p w14:paraId="4E670919">
      <w:pPr>
        <w:pStyle w:val="5"/>
        <w:rPr>
          <w:rFonts w:ascii="仿宋" w:hAnsi="仿宋" w:eastAsia="仿宋"/>
          <w:color w:val="000000"/>
          <w:kern w:val="2"/>
          <w:sz w:val="24"/>
          <w:lang w:eastAsia="zh-Hans"/>
        </w:rPr>
      </w:pPr>
      <w:bookmarkStart w:id="28" w:name="_Toc23527"/>
      <w:r>
        <w:rPr>
          <w:rFonts w:hint="eastAsia" w:ascii="仿宋" w:hAnsi="仿宋" w:eastAsia="仿宋"/>
          <w:color w:val="000000"/>
          <w:kern w:val="2"/>
          <w:sz w:val="24"/>
          <w:lang w:eastAsia="zh-Hans"/>
        </w:rPr>
        <w:t>数据库</w:t>
      </w:r>
      <w:r>
        <w:rPr>
          <w:rFonts w:hint="eastAsia" w:ascii="仿宋" w:hAnsi="仿宋" w:eastAsia="仿宋"/>
          <w:color w:val="000000"/>
          <w:kern w:val="2"/>
          <w:sz w:val="24"/>
        </w:rPr>
        <w:t>迁移方案</w:t>
      </w:r>
      <w:bookmarkEnd w:id="28"/>
    </w:p>
    <w:p w14:paraId="452D1FF5">
      <w:pPr>
        <w:autoSpaceDE w:val="0"/>
        <w:autoSpaceDN w:val="0"/>
        <w:snapToGrid w:val="0"/>
        <w:spacing w:line="312" w:lineRule="auto"/>
        <w:ind w:firstLine="480" w:firstLineChars="200"/>
        <w:rPr>
          <w:rFonts w:ascii="仿宋" w:hAnsi="仿宋" w:eastAsia="仿宋" w:cs="仿宋"/>
          <w:color w:val="000000"/>
        </w:rPr>
      </w:pPr>
      <w:r>
        <w:rPr>
          <w:rFonts w:ascii="仿宋" w:hAnsi="仿宋" w:eastAsia="仿宋" w:cs="仿宋"/>
          <w:color w:val="000000"/>
        </w:rPr>
        <w:t>乙方应答文件应包含针对所投产品的详细数据库迁移建议书。建议书应涵盖迁移方案、迁移规划、迁移项目管理、迁移工具、迁移实施和迁移交付等内容。迁移工具需支持自动将数据库的 DDL（包括存储过程）转换为目标数据库格式，并提供全面的迁移评估功能，包括迁移成功率和工作量报告。对于无法兼容的语句，迁移工具应提供修改意见，并支持 DDL 和数据的迁移，以及迁移后的数据校验功能。此外，迁移工具还需支持主流数据库到目标数据库的存量和增量迁移，以及双向同步功能。</w:t>
      </w:r>
    </w:p>
    <w:p w14:paraId="1060F8FD">
      <w:pPr>
        <w:pStyle w:val="2"/>
        <w:rPr>
          <w:rFonts w:ascii="仿宋" w:hAnsi="仿宋" w:eastAsia="仿宋" w:cs="仿宋"/>
          <w:color w:val="000000"/>
          <w:sz w:val="24"/>
          <w:szCs w:val="24"/>
        </w:rPr>
      </w:pPr>
      <w:bookmarkStart w:id="29" w:name="_Toc76654286"/>
      <w:bookmarkStart w:id="30" w:name="_Toc16812"/>
      <w:bookmarkStart w:id="31" w:name="_Toc74189769"/>
      <w:bookmarkStart w:id="32" w:name="_Toc8988"/>
      <w:bookmarkStart w:id="33" w:name="_Toc249"/>
      <w:bookmarkStart w:id="34" w:name="_Toc23262"/>
      <w:bookmarkStart w:id="35" w:name="_Toc54617054"/>
      <w:r>
        <w:rPr>
          <w:rFonts w:hint="eastAsia" w:ascii="仿宋" w:hAnsi="仿宋" w:eastAsia="仿宋" w:cs="仿宋"/>
          <w:color w:val="000000"/>
          <w:sz w:val="24"/>
          <w:szCs w:val="24"/>
        </w:rPr>
        <w:t>售后服务</w:t>
      </w:r>
      <w:bookmarkEnd w:id="29"/>
      <w:bookmarkEnd w:id="30"/>
      <w:bookmarkEnd w:id="31"/>
      <w:bookmarkEnd w:id="32"/>
      <w:bookmarkEnd w:id="33"/>
      <w:bookmarkEnd w:id="34"/>
      <w:bookmarkEnd w:id="35"/>
    </w:p>
    <w:p w14:paraId="34CB3FDF">
      <w:pPr>
        <w:pStyle w:val="3"/>
        <w:ind w:firstLine="489"/>
        <w:rPr>
          <w:rFonts w:ascii="仿宋" w:hAnsi="仿宋" w:eastAsia="仿宋"/>
          <w:sz w:val="24"/>
        </w:rPr>
      </w:pPr>
      <w:r>
        <w:rPr>
          <w:rFonts w:hint="eastAsia" w:ascii="仿宋" w:hAnsi="仿宋" w:eastAsia="仿宋"/>
          <w:sz w:val="24"/>
        </w:rPr>
        <w:t>数据迁移服务</w:t>
      </w:r>
    </w:p>
    <w:p w14:paraId="3A1F7093">
      <w:pPr>
        <w:pStyle w:val="4"/>
        <w:adjustRightInd/>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提供现场服务，协助客户完成数据库产品数据迁移。服务内容包括：</w:t>
      </w:r>
    </w:p>
    <w:p w14:paraId="0D80DDF3">
      <w:pPr>
        <w:pStyle w:val="4"/>
        <w:numPr>
          <w:ilvl w:val="0"/>
          <w:numId w:val="4"/>
        </w:numPr>
        <w:adjustRightInd/>
        <w:snapToGrid w:val="0"/>
        <w:spacing w:line="312" w:lineRule="auto"/>
        <w:rPr>
          <w:rFonts w:ascii="仿宋" w:hAnsi="仿宋" w:eastAsia="仿宋" w:cs="仿宋"/>
          <w:color w:val="000000"/>
        </w:rPr>
      </w:pPr>
      <w:r>
        <w:rPr>
          <w:rFonts w:hint="eastAsia" w:ascii="仿宋" w:hAnsi="仿宋" w:eastAsia="仿宋" w:cs="仿宋"/>
          <w:color w:val="000000"/>
        </w:rPr>
        <w:t>勘查当前数据库类型、数据存储环境、数据量和数据对象。</w:t>
      </w:r>
    </w:p>
    <w:p w14:paraId="23CF590B">
      <w:pPr>
        <w:pStyle w:val="4"/>
        <w:numPr>
          <w:ilvl w:val="0"/>
          <w:numId w:val="4"/>
        </w:numPr>
        <w:adjustRightInd/>
        <w:snapToGrid w:val="0"/>
        <w:spacing w:line="312" w:lineRule="auto"/>
        <w:rPr>
          <w:rFonts w:ascii="仿宋" w:hAnsi="仿宋" w:eastAsia="仿宋" w:cs="仿宋"/>
          <w:color w:val="000000"/>
        </w:rPr>
      </w:pPr>
      <w:r>
        <w:rPr>
          <w:rFonts w:hint="eastAsia" w:ascii="仿宋" w:hAnsi="仿宋" w:eastAsia="仿宋" w:cs="仿宋"/>
          <w:color w:val="000000"/>
        </w:rPr>
        <w:t>提供数据迁移策略建议。</w:t>
      </w:r>
    </w:p>
    <w:p w14:paraId="6497C373">
      <w:pPr>
        <w:pStyle w:val="4"/>
        <w:numPr>
          <w:ilvl w:val="0"/>
          <w:numId w:val="4"/>
        </w:numPr>
        <w:adjustRightInd/>
        <w:snapToGrid w:val="0"/>
        <w:spacing w:line="312" w:lineRule="auto"/>
        <w:rPr>
          <w:rFonts w:ascii="仿宋" w:hAnsi="仿宋" w:eastAsia="仿宋" w:cs="仿宋"/>
          <w:color w:val="000000"/>
        </w:rPr>
      </w:pPr>
      <w:r>
        <w:rPr>
          <w:rFonts w:hint="eastAsia" w:ascii="仿宋" w:hAnsi="仿宋" w:eastAsia="仿宋" w:cs="仿宋"/>
          <w:color w:val="000000"/>
        </w:rPr>
        <w:t>根据客户约定，提供存量数据和数据对象的迁移服务。</w:t>
      </w:r>
    </w:p>
    <w:p w14:paraId="2D32056B">
      <w:pPr>
        <w:pStyle w:val="4"/>
        <w:numPr>
          <w:ilvl w:val="0"/>
          <w:numId w:val="4"/>
        </w:numPr>
        <w:adjustRightInd/>
        <w:snapToGrid w:val="0"/>
        <w:spacing w:line="312" w:lineRule="auto"/>
        <w:rPr>
          <w:rFonts w:ascii="仿宋" w:hAnsi="仿宋" w:eastAsia="仿宋" w:cs="仿宋"/>
          <w:color w:val="000000"/>
        </w:rPr>
      </w:pPr>
      <w:r>
        <w:rPr>
          <w:rFonts w:hint="eastAsia" w:ascii="仿宋" w:hAnsi="仿宋" w:eastAsia="仿宋" w:cs="仿宋"/>
          <w:color w:val="000000"/>
        </w:rPr>
        <w:t>提供目标应用系统访问原数据库的SQL语句改写转换服务。</w:t>
      </w:r>
    </w:p>
    <w:p w14:paraId="42415C77">
      <w:pPr>
        <w:pStyle w:val="4"/>
        <w:numPr>
          <w:ilvl w:val="0"/>
          <w:numId w:val="4"/>
        </w:numPr>
        <w:adjustRightInd/>
        <w:snapToGrid w:val="0"/>
        <w:spacing w:line="312" w:lineRule="auto"/>
        <w:rPr>
          <w:rFonts w:ascii="仿宋" w:hAnsi="仿宋" w:eastAsia="仿宋" w:cs="仿宋"/>
          <w:color w:val="000000"/>
        </w:rPr>
      </w:pPr>
      <w:r>
        <w:rPr>
          <w:rFonts w:hint="eastAsia" w:ascii="仿宋" w:hAnsi="仿宋" w:eastAsia="仿宋" w:cs="仿宋"/>
          <w:color w:val="000000"/>
        </w:rPr>
        <w:t>协助进行迁移后数据和应用的检查校验工作。</w:t>
      </w:r>
    </w:p>
    <w:p w14:paraId="5BB53871">
      <w:pPr>
        <w:pStyle w:val="3"/>
        <w:ind w:firstLine="489"/>
        <w:rPr>
          <w:rFonts w:ascii="仿宋" w:hAnsi="仿宋" w:eastAsia="仿宋"/>
          <w:sz w:val="24"/>
        </w:rPr>
      </w:pPr>
      <w:r>
        <w:rPr>
          <w:rFonts w:hint="eastAsia" w:ascii="仿宋" w:hAnsi="仿宋" w:eastAsia="仿宋"/>
          <w:sz w:val="24"/>
        </w:rPr>
        <w:t>高可用集群实施服务</w:t>
      </w:r>
    </w:p>
    <w:p w14:paraId="56055D82">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协助客户根据具体业务系统的运行情况和需求，完成高可用集群的设计、部署、配置和调试服务。该服务内容包括：</w:t>
      </w:r>
    </w:p>
    <w:p w14:paraId="26147ACC">
      <w:pPr>
        <w:pStyle w:val="4"/>
        <w:numPr>
          <w:ilvl w:val="0"/>
          <w:numId w:val="5"/>
        </w:numPr>
        <w:snapToGrid w:val="0"/>
        <w:spacing w:line="312" w:lineRule="auto"/>
        <w:rPr>
          <w:rFonts w:ascii="仿宋" w:hAnsi="仿宋" w:eastAsia="仿宋" w:cs="仿宋"/>
          <w:color w:val="000000"/>
        </w:rPr>
      </w:pPr>
      <w:r>
        <w:rPr>
          <w:rFonts w:hint="eastAsia" w:ascii="仿宋" w:hAnsi="仿宋" w:eastAsia="仿宋" w:cs="仿宋"/>
          <w:color w:val="000000"/>
        </w:rPr>
        <w:t>根据客户业务系统的具体需求，设计高可用集群的架构和部署方案。</w:t>
      </w:r>
    </w:p>
    <w:p w14:paraId="7AB7A991">
      <w:pPr>
        <w:pStyle w:val="4"/>
        <w:numPr>
          <w:ilvl w:val="0"/>
          <w:numId w:val="5"/>
        </w:numPr>
        <w:snapToGrid w:val="0"/>
        <w:spacing w:line="312" w:lineRule="auto"/>
        <w:rPr>
          <w:rFonts w:ascii="仿宋" w:hAnsi="仿宋" w:eastAsia="仿宋" w:cs="仿宋"/>
          <w:color w:val="000000"/>
        </w:rPr>
      </w:pPr>
      <w:r>
        <w:rPr>
          <w:rFonts w:hint="eastAsia" w:ascii="仿宋" w:hAnsi="仿宋" w:eastAsia="仿宋" w:cs="仿宋"/>
          <w:color w:val="000000"/>
        </w:rPr>
        <w:t>根据设计方案，实施高可用集群的部署和配置。</w:t>
      </w:r>
    </w:p>
    <w:p w14:paraId="72F10820">
      <w:pPr>
        <w:pStyle w:val="4"/>
        <w:numPr>
          <w:ilvl w:val="0"/>
          <w:numId w:val="5"/>
        </w:numPr>
        <w:snapToGrid w:val="0"/>
        <w:spacing w:line="312" w:lineRule="auto"/>
        <w:rPr>
          <w:rFonts w:ascii="仿宋" w:hAnsi="仿宋" w:eastAsia="仿宋" w:cs="仿宋"/>
          <w:color w:val="000000"/>
        </w:rPr>
      </w:pPr>
      <w:r>
        <w:rPr>
          <w:rFonts w:hint="eastAsia" w:ascii="仿宋" w:hAnsi="仿宋" w:eastAsia="仿宋" w:cs="仿宋"/>
          <w:color w:val="000000"/>
        </w:rPr>
        <w:t>对部署好的高可用集群进行调试和测试，确保集群的稳定性和可靠性。</w:t>
      </w:r>
    </w:p>
    <w:p w14:paraId="23B22B84">
      <w:pPr>
        <w:pStyle w:val="4"/>
        <w:numPr>
          <w:ilvl w:val="0"/>
          <w:numId w:val="5"/>
        </w:numPr>
        <w:adjustRightInd/>
        <w:snapToGrid w:val="0"/>
        <w:spacing w:line="312" w:lineRule="auto"/>
        <w:rPr>
          <w:rFonts w:ascii="仿宋" w:hAnsi="仿宋" w:eastAsia="仿宋" w:cs="仿宋"/>
          <w:color w:val="000000"/>
        </w:rPr>
      </w:pPr>
      <w:r>
        <w:rPr>
          <w:rFonts w:hint="eastAsia" w:ascii="仿宋" w:hAnsi="仿宋" w:eastAsia="仿宋" w:cs="仿宋"/>
          <w:color w:val="000000"/>
        </w:rPr>
        <w:t>提供完整的集群部署文档，包括方案设计、配置说明、操作手册等，方便客户进行后续维护和管理。</w:t>
      </w:r>
    </w:p>
    <w:p w14:paraId="02D3AABA">
      <w:pPr>
        <w:pStyle w:val="3"/>
        <w:ind w:firstLine="489"/>
        <w:rPr>
          <w:rFonts w:ascii="仿宋" w:hAnsi="仿宋" w:eastAsia="仿宋"/>
          <w:sz w:val="24"/>
        </w:rPr>
      </w:pPr>
      <w:r>
        <w:rPr>
          <w:rFonts w:hint="eastAsia" w:ascii="仿宋" w:hAnsi="仿宋" w:eastAsia="仿宋"/>
          <w:sz w:val="24"/>
        </w:rPr>
        <w:t>数据库备份服务</w:t>
      </w:r>
    </w:p>
    <w:p w14:paraId="3446F7CD">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协助客户完成数据库产品的备份，服务内容包括：</w:t>
      </w:r>
    </w:p>
    <w:p w14:paraId="26FCF228">
      <w:pPr>
        <w:pStyle w:val="4"/>
        <w:numPr>
          <w:ilvl w:val="0"/>
          <w:numId w:val="6"/>
        </w:numPr>
        <w:snapToGrid w:val="0"/>
        <w:spacing w:line="312" w:lineRule="auto"/>
        <w:rPr>
          <w:rFonts w:ascii="仿宋" w:hAnsi="仿宋" w:eastAsia="仿宋" w:cs="仿宋"/>
          <w:color w:val="000000"/>
        </w:rPr>
      </w:pPr>
      <w:r>
        <w:rPr>
          <w:rFonts w:hint="eastAsia" w:ascii="仿宋" w:hAnsi="仿宋" w:eastAsia="仿宋" w:cs="仿宋"/>
          <w:color w:val="000000"/>
        </w:rPr>
        <w:t>了解客户当前的数据存储环境和数据量。</w:t>
      </w:r>
    </w:p>
    <w:p w14:paraId="50E2A48C">
      <w:pPr>
        <w:pStyle w:val="4"/>
        <w:numPr>
          <w:ilvl w:val="0"/>
          <w:numId w:val="6"/>
        </w:numPr>
        <w:snapToGrid w:val="0"/>
        <w:spacing w:line="312" w:lineRule="auto"/>
        <w:rPr>
          <w:rFonts w:ascii="仿宋" w:hAnsi="仿宋" w:eastAsia="仿宋" w:cs="仿宋"/>
          <w:color w:val="000000"/>
        </w:rPr>
      </w:pPr>
      <w:r>
        <w:rPr>
          <w:rFonts w:hint="eastAsia" w:ascii="仿宋" w:hAnsi="仿宋" w:eastAsia="仿宋" w:cs="仿宋"/>
          <w:color w:val="000000"/>
        </w:rPr>
        <w:t>提供针对性的备份策略建议，包括备份方式选择、备份频率、备份目标等。</w:t>
      </w:r>
    </w:p>
    <w:p w14:paraId="21CF7BA8">
      <w:pPr>
        <w:pStyle w:val="4"/>
        <w:numPr>
          <w:ilvl w:val="0"/>
          <w:numId w:val="6"/>
        </w:numPr>
        <w:snapToGrid w:val="0"/>
        <w:spacing w:line="312" w:lineRule="auto"/>
        <w:rPr>
          <w:rFonts w:ascii="仿宋" w:hAnsi="仿宋" w:eastAsia="仿宋" w:cs="仿宋"/>
          <w:color w:val="000000"/>
        </w:rPr>
      </w:pPr>
      <w:r>
        <w:rPr>
          <w:rFonts w:hint="eastAsia" w:ascii="仿宋" w:hAnsi="仿宋" w:eastAsia="仿宋" w:cs="仿宋"/>
          <w:color w:val="000000"/>
        </w:rPr>
        <w:t>按照客户需求进行物理备份或逻辑备份，确保数据备份的完整性和安全性。</w:t>
      </w:r>
    </w:p>
    <w:p w14:paraId="6FAE39F5">
      <w:pPr>
        <w:pStyle w:val="4"/>
        <w:numPr>
          <w:ilvl w:val="0"/>
          <w:numId w:val="6"/>
        </w:numPr>
        <w:adjustRightInd/>
        <w:snapToGrid w:val="0"/>
        <w:spacing w:line="312" w:lineRule="auto"/>
        <w:rPr>
          <w:rFonts w:ascii="仿宋" w:hAnsi="仿宋" w:eastAsia="仿宋" w:cs="仿宋"/>
          <w:color w:val="000000"/>
        </w:rPr>
      </w:pPr>
      <w:r>
        <w:rPr>
          <w:rFonts w:hint="eastAsia" w:ascii="仿宋" w:hAnsi="仿宋" w:eastAsia="仿宋" w:cs="仿宋"/>
          <w:color w:val="000000"/>
        </w:rPr>
        <w:t>完成备份后，进行数据检查，确保备份数据完整有效。</w:t>
      </w:r>
    </w:p>
    <w:p w14:paraId="33D829E2">
      <w:pPr>
        <w:pStyle w:val="3"/>
        <w:ind w:firstLine="489"/>
        <w:rPr>
          <w:rFonts w:ascii="仿宋" w:hAnsi="仿宋" w:eastAsia="仿宋"/>
          <w:sz w:val="24"/>
        </w:rPr>
      </w:pPr>
      <w:r>
        <w:rPr>
          <w:rFonts w:hint="eastAsia" w:ascii="仿宋" w:hAnsi="仿宋" w:eastAsia="仿宋"/>
          <w:sz w:val="24"/>
        </w:rPr>
        <w:t>培训服务</w:t>
      </w:r>
    </w:p>
    <w:p w14:paraId="06CB8591">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卖方应针对系统建设方案、管理流程、系统的运维、操作及使用提供完整的技术培训。</w:t>
      </w:r>
    </w:p>
    <w:p w14:paraId="48CFC392">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培训内容：</w:t>
      </w:r>
    </w:p>
    <w:p w14:paraId="658EA535">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（1）数据库架构原理培训。要求对本项目国产数据库的设计原理、架构设计规范进行详细的培训，帮助使用人员理解分布式架构、从而为更好的运维管理、数据开发作业进行良好的技术支撑。</w:t>
      </w:r>
    </w:p>
    <w:p w14:paraId="2C64D50C">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（2）管理运维培训。要求卖方针对数据库管理运维人员进行详尽的运维知识与技巧培训，帮助运维人员进行。</w:t>
      </w:r>
    </w:p>
    <w:p w14:paraId="334DEB54">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培训内容包括：数据库安装、升级、扩容；数据库巡检、常见问题（故障、性能）诊断；数据库常见故障处理；数据库权限、资源控制管理；数据库备份恢复管理；严重问题、故障服务支持启动流程。</w:t>
      </w:r>
    </w:p>
    <w:p w14:paraId="4F49B14F">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（3）开发及使用培训。针对数据开发使用人员，进行数据库使用方式、技巧的培训，帮助开发人员能够发挥国产数据库的最佳性能。</w:t>
      </w:r>
    </w:p>
    <w:p w14:paraId="5923FB97">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培训内容包括：</w:t>
      </w:r>
    </w:p>
    <w:p w14:paraId="5477AC2B">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数据库对象的管理，包括创建、删除、修改；数据库对象的使用，包括：表、视图、索引、存储过程、自定义函数等数据库的数据管理，数据导入、导出；数据库异构迁移最佳实践方案。</w:t>
      </w:r>
    </w:p>
    <w:p w14:paraId="0E14BF12">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培训要求</w:t>
      </w:r>
    </w:p>
    <w:p w14:paraId="4CF2DA06">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1）培训方式要求</w:t>
      </w:r>
    </w:p>
    <w:p w14:paraId="1BA2F2C5">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卖方应提供详细的培训方案和培训承诺。培训方案主要包括培训组织机构、培训内容、培训大纲、培训计划、培训对象等几个方面，并按照上述要求进行详细说明。</w:t>
      </w:r>
    </w:p>
    <w:p w14:paraId="55483A32">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2）培训教材要求</w:t>
      </w:r>
    </w:p>
    <w:p w14:paraId="4EED66B5">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培训的语言和教材须是中文，可供中英文参考文档；卖方负责提供培训计划和资料，买方有权在内部使用这些培训资料。</w:t>
      </w:r>
    </w:p>
    <w:p w14:paraId="0489FFBB">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3）培训师资要求</w:t>
      </w:r>
    </w:p>
    <w:p w14:paraId="4AAFCCFF">
      <w:pPr>
        <w:pStyle w:val="4"/>
        <w:snapToGrid w:val="0"/>
        <w:spacing w:line="312" w:lineRule="auto"/>
        <w:ind w:firstLine="480" w:firstLineChars="200"/>
        <w:rPr>
          <w:rFonts w:ascii="仿宋" w:hAnsi="仿宋" w:eastAsia="仿宋" w:cs="仿宋"/>
          <w:color w:val="000000"/>
          <w:sz w:val="24"/>
          <w:szCs w:val="24"/>
        </w:rPr>
      </w:pPr>
      <w:r>
        <w:rPr>
          <w:rFonts w:hint="eastAsia" w:ascii="仿宋" w:hAnsi="仿宋" w:eastAsia="仿宋" w:cs="仿宋"/>
          <w:color w:val="000000"/>
        </w:rPr>
        <w:t>卖方必须提供具有相应专业知识、实际工作和教学经验的培训讲师、辅导人员和相应的教材。</w:t>
      </w:r>
      <w:bookmarkStart w:id="36" w:name="_Toc76654289"/>
      <w:bookmarkStart w:id="37" w:name="_Toc74189772"/>
      <w:bookmarkStart w:id="38" w:name="_Toc18429"/>
      <w:bookmarkStart w:id="39" w:name="_Toc31984"/>
      <w:bookmarkStart w:id="40" w:name="_Toc29376"/>
      <w:bookmarkStart w:id="41" w:name="_Toc18152"/>
      <w:bookmarkStart w:id="42" w:name="_Toc54617057"/>
    </w:p>
    <w:p w14:paraId="3FD29E1F">
      <w:pPr>
        <w:pStyle w:val="2"/>
        <w:rPr>
          <w:rFonts w:ascii="仿宋" w:hAnsi="仿宋" w:eastAsia="仿宋" w:cs="仿宋"/>
          <w:color w:val="000000"/>
          <w:sz w:val="24"/>
          <w:szCs w:val="24"/>
        </w:rPr>
      </w:pPr>
      <w:r>
        <w:rPr>
          <w:rFonts w:hint="eastAsia" w:ascii="仿宋" w:hAnsi="仿宋" w:eastAsia="仿宋" w:cs="仿宋"/>
          <w:color w:val="000000"/>
          <w:sz w:val="24"/>
          <w:szCs w:val="24"/>
        </w:rPr>
        <w:t>技术文件</w:t>
      </w:r>
      <w:bookmarkEnd w:id="36"/>
      <w:bookmarkEnd w:id="37"/>
      <w:bookmarkEnd w:id="38"/>
      <w:bookmarkEnd w:id="39"/>
      <w:bookmarkEnd w:id="40"/>
      <w:bookmarkEnd w:id="41"/>
      <w:bookmarkEnd w:id="42"/>
    </w:p>
    <w:p w14:paraId="766F6EA4">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1）乙方应向甲方提供完整的技术文件，包括安装手册、用户手册、系统管理手册以及相关软件的维护和开发手册等。这些技术资料应满足甲方对乙方提供软件的使用、维护及应用开发的需求，形式可包括文档、音视频和图片等。</w:t>
      </w:r>
    </w:p>
    <w:p w14:paraId="2DADD3F3">
      <w:pPr>
        <w:pStyle w:val="4"/>
        <w:snapToGrid w:val="0"/>
        <w:spacing w:line="312" w:lineRule="auto"/>
        <w:ind w:firstLine="480" w:firstLineChars="200"/>
        <w:rPr>
          <w:rFonts w:ascii="仿宋" w:hAnsi="仿宋" w:eastAsia="仿宋" w:cs="仿宋"/>
          <w:color w:val="000000"/>
        </w:rPr>
      </w:pPr>
      <w:r>
        <w:rPr>
          <w:rFonts w:hint="eastAsia" w:ascii="仿宋" w:hAnsi="仿宋" w:eastAsia="仿宋" w:cs="仿宋"/>
          <w:color w:val="000000"/>
        </w:rPr>
        <w:t>（2）乙方提供的文件资料须与所提供的软件版本相一致。乙方在建议书中应列出所有提供技术资料的详细清单。</w:t>
      </w:r>
      <w:bookmarkEnd w:id="5"/>
      <w:bookmarkEnd w:id="21"/>
      <w:bookmarkEnd w:id="22"/>
    </w:p>
    <w:sectPr>
      <w:footerReference r:id="rId4" w:type="first"/>
      <w:footerReference r:id="rId3" w:type="default"/>
      <w:pgSz w:w="11907" w:h="16840"/>
      <w:pgMar w:top="1701" w:right="1361" w:bottom="1701" w:left="1588" w:header="1021" w:footer="1134" w:gutter="0"/>
      <w:pgNumType w:start="1"/>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长城仿宋">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7287708"/>
      <w:docPartObj>
        <w:docPartGallery w:val="autotext"/>
      </w:docPartObj>
    </w:sdtPr>
    <w:sdtContent>
      <w:p w14:paraId="5A7C3E69">
        <w:pPr>
          <w:pStyle w:val="15"/>
          <w:jc w:val="center"/>
        </w:pPr>
        <w:r>
          <w:fldChar w:fldCharType="begin"/>
        </w:r>
        <w:r>
          <w:instrText xml:space="preserve">PAGE   \* MERGEFORMAT</w:instrText>
        </w:r>
        <w:r>
          <w:fldChar w:fldCharType="separate"/>
        </w:r>
        <w:r>
          <w:rPr>
            <w:lang w:val="zh-CN"/>
          </w:rPr>
          <w:t>2</w:t>
        </w:r>
        <w:r>
          <w:fldChar w:fldCharType="end"/>
        </w:r>
      </w:p>
    </w:sdtContent>
  </w:sdt>
  <w:p w14:paraId="3176C6F1">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7409232"/>
      <w:docPartObj>
        <w:docPartGallery w:val="autotext"/>
      </w:docPartObj>
    </w:sdtPr>
    <w:sdtContent>
      <w:p w14:paraId="24C90D69">
        <w:pPr>
          <w:pStyle w:val="15"/>
          <w:jc w:val="center"/>
        </w:pPr>
        <w:r>
          <w:fldChar w:fldCharType="begin"/>
        </w:r>
        <w:r>
          <w:instrText xml:space="preserve">PAGE   \* MERGEFORMAT</w:instrText>
        </w:r>
        <w:r>
          <w:fldChar w:fldCharType="separate"/>
        </w:r>
        <w:r>
          <w:rPr>
            <w:lang w:val="zh-CN"/>
          </w:rPr>
          <w:t>2</w:t>
        </w:r>
        <w:r>
          <w:fldChar w:fldCharType="end"/>
        </w:r>
      </w:p>
    </w:sdtContent>
  </w:sdt>
  <w:p w14:paraId="50143ECC">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1BB5F"/>
    <w:multiLevelType w:val="singleLevel"/>
    <w:tmpl w:val="8591BB5F"/>
    <w:lvl w:ilvl="0" w:tentative="0">
      <w:start w:val="1"/>
      <w:numFmt w:val="bullet"/>
      <w:lvlText w:val=""/>
      <w:lvlJc w:val="left"/>
      <w:pPr>
        <w:ind w:left="420" w:hanging="420"/>
      </w:pPr>
      <w:rPr>
        <w:rFonts w:hint="default" w:ascii="Wingdings" w:hAnsi="Wingdings"/>
      </w:rPr>
    </w:lvl>
  </w:abstractNum>
  <w:abstractNum w:abstractNumId="1">
    <w:nsid w:val="1767753B"/>
    <w:multiLevelType w:val="multilevel"/>
    <w:tmpl w:val="1767753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
    <w:nsid w:val="208D8851"/>
    <w:multiLevelType w:val="singleLevel"/>
    <w:tmpl w:val="208D8851"/>
    <w:lvl w:ilvl="0" w:tentative="0">
      <w:start w:val="1"/>
      <w:numFmt w:val="decimal"/>
      <w:lvlText w:val="%1."/>
      <w:lvlJc w:val="left"/>
      <w:pPr>
        <w:tabs>
          <w:tab w:val="left" w:pos="312"/>
        </w:tabs>
      </w:pPr>
    </w:lvl>
  </w:abstractNum>
  <w:abstractNum w:abstractNumId="3">
    <w:nsid w:val="2D3331A3"/>
    <w:multiLevelType w:val="multilevel"/>
    <w:tmpl w:val="2D3331A3"/>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4">
    <w:nsid w:val="4023320E"/>
    <w:multiLevelType w:val="multilevel"/>
    <w:tmpl w:val="4023320E"/>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5">
    <w:nsid w:val="68B24F39"/>
    <w:multiLevelType w:val="multilevel"/>
    <w:tmpl w:val="68B24F39"/>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wNTkzMWRhZTE0MTRlNjBkM2U3YWY5ZGY4ZWMxNzgifQ=="/>
  </w:docVars>
  <w:rsids>
    <w:rsidRoot w:val="00E73C0F"/>
    <w:rsid w:val="00002E53"/>
    <w:rsid w:val="0000427A"/>
    <w:rsid w:val="0000732A"/>
    <w:rsid w:val="00090E73"/>
    <w:rsid w:val="000A2736"/>
    <w:rsid w:val="000A746A"/>
    <w:rsid w:val="00107F4A"/>
    <w:rsid w:val="00114721"/>
    <w:rsid w:val="00160954"/>
    <w:rsid w:val="001E28DA"/>
    <w:rsid w:val="001F3F21"/>
    <w:rsid w:val="00213533"/>
    <w:rsid w:val="002424AA"/>
    <w:rsid w:val="002815A7"/>
    <w:rsid w:val="00384AA3"/>
    <w:rsid w:val="003D78C9"/>
    <w:rsid w:val="004012AF"/>
    <w:rsid w:val="004547E8"/>
    <w:rsid w:val="00473CB2"/>
    <w:rsid w:val="00480631"/>
    <w:rsid w:val="0053236A"/>
    <w:rsid w:val="005367E4"/>
    <w:rsid w:val="00621367"/>
    <w:rsid w:val="006616D9"/>
    <w:rsid w:val="00714DEC"/>
    <w:rsid w:val="00742A19"/>
    <w:rsid w:val="0075254E"/>
    <w:rsid w:val="00762952"/>
    <w:rsid w:val="007C3994"/>
    <w:rsid w:val="007D2161"/>
    <w:rsid w:val="00861F5D"/>
    <w:rsid w:val="00865BAD"/>
    <w:rsid w:val="009262A8"/>
    <w:rsid w:val="00967708"/>
    <w:rsid w:val="00974A13"/>
    <w:rsid w:val="009A2E15"/>
    <w:rsid w:val="009D3E1A"/>
    <w:rsid w:val="009E1BA7"/>
    <w:rsid w:val="00A01072"/>
    <w:rsid w:val="00A2733F"/>
    <w:rsid w:val="00A44C1E"/>
    <w:rsid w:val="00AC0B2F"/>
    <w:rsid w:val="00AC7F70"/>
    <w:rsid w:val="00B42377"/>
    <w:rsid w:val="00B71F1B"/>
    <w:rsid w:val="00B816CB"/>
    <w:rsid w:val="00BA13CB"/>
    <w:rsid w:val="00BC3B2B"/>
    <w:rsid w:val="00BD5C55"/>
    <w:rsid w:val="00BF1D60"/>
    <w:rsid w:val="00C271EB"/>
    <w:rsid w:val="00C80BE2"/>
    <w:rsid w:val="00D102D7"/>
    <w:rsid w:val="00E05D13"/>
    <w:rsid w:val="00E10D12"/>
    <w:rsid w:val="00E60D8A"/>
    <w:rsid w:val="00E7126F"/>
    <w:rsid w:val="00E73C0F"/>
    <w:rsid w:val="00E81E55"/>
    <w:rsid w:val="00E824D9"/>
    <w:rsid w:val="00EF2AD3"/>
    <w:rsid w:val="00F72AFB"/>
    <w:rsid w:val="00FC2DC1"/>
    <w:rsid w:val="00FC7E0C"/>
    <w:rsid w:val="01A1683A"/>
    <w:rsid w:val="0AD13F0B"/>
    <w:rsid w:val="0F552FFD"/>
    <w:rsid w:val="118653FD"/>
    <w:rsid w:val="1C8A7360"/>
    <w:rsid w:val="23F82B94"/>
    <w:rsid w:val="24AA0FAE"/>
    <w:rsid w:val="25A0619C"/>
    <w:rsid w:val="262C3CBF"/>
    <w:rsid w:val="2F0C1FB8"/>
    <w:rsid w:val="38417D8A"/>
    <w:rsid w:val="390D5126"/>
    <w:rsid w:val="4E9F71D8"/>
    <w:rsid w:val="4ECC75F6"/>
    <w:rsid w:val="66543C30"/>
    <w:rsid w:val="6B671990"/>
    <w:rsid w:val="6E73009B"/>
    <w:rsid w:val="6EE011F8"/>
    <w:rsid w:val="73C17F67"/>
    <w:rsid w:val="7F8E3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4"/>
    <w:qFormat/>
    <w:uiPriority w:val="0"/>
    <w:pPr>
      <w:keepNext/>
      <w:keepLines/>
      <w:numPr>
        <w:ilvl w:val="1"/>
        <w:numId w:val="1"/>
      </w:numPr>
      <w:spacing w:line="560" w:lineRule="atLeast"/>
      <w:ind w:firstLine="200" w:firstLineChars="200"/>
      <w:outlineLvl w:val="1"/>
    </w:pPr>
    <w:rPr>
      <w:rFonts w:eastAsia="黑体"/>
      <w:b/>
      <w:sz w:val="28"/>
    </w:rPr>
  </w:style>
  <w:style w:type="paragraph" w:styleId="5">
    <w:name w:val="heading 3"/>
    <w:basedOn w:val="1"/>
    <w:next w:val="4"/>
    <w:qFormat/>
    <w:uiPriority w:val="0"/>
    <w:pPr>
      <w:keepNext/>
      <w:keepLines/>
      <w:numPr>
        <w:ilvl w:val="2"/>
        <w:numId w:val="1"/>
      </w:numPr>
      <w:adjustRightInd w:val="0"/>
      <w:spacing w:before="160" w:after="160" w:line="160" w:lineRule="atLeast"/>
      <w:textAlignment w:val="baseline"/>
      <w:outlineLvl w:val="2"/>
    </w:pPr>
    <w:rPr>
      <w:rFonts w:ascii="黑体" w:eastAsia="黑体"/>
      <w:sz w:val="28"/>
    </w:rPr>
  </w:style>
  <w:style w:type="paragraph" w:styleId="6">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link w:val="27"/>
    <w:semiHidden/>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29"/>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9">
    <w:name w:val="heading 7"/>
    <w:basedOn w:val="1"/>
    <w:next w:val="1"/>
    <w:link w:val="30"/>
    <w:semiHidden/>
    <w:unhideWhenUsed/>
    <w:qFormat/>
    <w:uiPriority w:val="0"/>
    <w:pPr>
      <w:keepNext/>
      <w:keepLines/>
      <w:numPr>
        <w:ilvl w:val="6"/>
        <w:numId w:val="1"/>
      </w:numPr>
      <w:spacing w:before="240" w:after="64" w:line="320" w:lineRule="auto"/>
      <w:outlineLvl w:val="6"/>
    </w:pPr>
    <w:rPr>
      <w:b/>
      <w:bCs/>
    </w:rPr>
  </w:style>
  <w:style w:type="paragraph" w:styleId="10">
    <w:name w:val="heading 8"/>
    <w:basedOn w:val="1"/>
    <w:next w:val="1"/>
    <w:link w:val="31"/>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1">
    <w:name w:val="heading 9"/>
    <w:basedOn w:val="1"/>
    <w:next w:val="1"/>
    <w:link w:val="32"/>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4">
    <w:name w:val="文档正文"/>
    <w:basedOn w:val="1"/>
    <w:qFormat/>
    <w:uiPriority w:val="0"/>
    <w:pPr>
      <w:adjustRightInd w:val="0"/>
      <w:spacing w:line="480" w:lineRule="atLeast"/>
      <w:ind w:firstLine="567"/>
      <w:textAlignment w:val="baseline"/>
    </w:pPr>
    <w:rPr>
      <w:rFonts w:ascii="长城仿宋"/>
    </w:rPr>
  </w:style>
  <w:style w:type="paragraph" w:styleId="12">
    <w:name w:val="annotation text"/>
    <w:basedOn w:val="1"/>
    <w:qFormat/>
    <w:uiPriority w:val="0"/>
  </w:style>
  <w:style w:type="paragraph" w:styleId="13">
    <w:name w:val="toc 3"/>
    <w:basedOn w:val="1"/>
    <w:next w:val="1"/>
    <w:qFormat/>
    <w:uiPriority w:val="39"/>
    <w:pPr>
      <w:tabs>
        <w:tab w:val="right" w:leader="dot" w:pos="8495"/>
      </w:tabs>
      <w:spacing w:line="560" w:lineRule="exact"/>
      <w:ind w:firstLine="560" w:firstLineChars="200"/>
    </w:pPr>
    <w:rPr>
      <w:rFonts w:ascii="仿宋" w:hAnsi="仿宋" w:eastAsia="仿宋"/>
      <w:iCs/>
      <w:sz w:val="28"/>
    </w:rPr>
  </w:style>
  <w:style w:type="paragraph" w:styleId="14">
    <w:name w:val="Date"/>
    <w:basedOn w:val="1"/>
    <w:next w:val="1"/>
    <w:qFormat/>
    <w:uiPriority w:val="0"/>
    <w:pPr>
      <w:ind w:left="100" w:leftChars="2500"/>
    </w:pPr>
  </w:style>
  <w:style w:type="paragraph" w:styleId="15">
    <w:name w:val="footer"/>
    <w:basedOn w:val="1"/>
    <w:link w:val="33"/>
    <w:qFormat/>
    <w:uiPriority w:val="99"/>
    <w:pPr>
      <w:pBdr>
        <w:top w:val="single" w:color="auto" w:sz="4" w:space="1"/>
      </w:pBdr>
      <w:tabs>
        <w:tab w:val="center" w:pos="4153"/>
        <w:tab w:val="right" w:pos="8306"/>
      </w:tabs>
      <w:snapToGrid w:val="0"/>
    </w:pPr>
    <w:rPr>
      <w:sz w:val="18"/>
      <w:szCs w:val="18"/>
    </w:rPr>
  </w:style>
  <w:style w:type="paragraph" w:styleId="16">
    <w:name w:val="header"/>
    <w:basedOn w:val="1"/>
    <w:link w:val="26"/>
    <w:uiPriority w:val="0"/>
    <w:pPr>
      <w:tabs>
        <w:tab w:val="center" w:pos="4153"/>
        <w:tab w:val="right" w:pos="8306"/>
      </w:tabs>
      <w:snapToGrid w:val="0"/>
      <w:jc w:val="center"/>
    </w:pPr>
    <w:rPr>
      <w:sz w:val="18"/>
      <w:szCs w:val="18"/>
    </w:rPr>
  </w:style>
  <w:style w:type="paragraph" w:styleId="17">
    <w:name w:val="toc 1"/>
    <w:basedOn w:val="1"/>
    <w:next w:val="1"/>
    <w:autoRedefine/>
    <w:uiPriority w:val="39"/>
  </w:style>
  <w:style w:type="paragraph" w:styleId="18">
    <w:name w:val="toc 2"/>
    <w:basedOn w:val="1"/>
    <w:next w:val="1"/>
    <w:qFormat/>
    <w:uiPriority w:val="39"/>
    <w:pPr>
      <w:tabs>
        <w:tab w:val="right" w:leader="dot" w:pos="8495"/>
      </w:tabs>
      <w:spacing w:line="560" w:lineRule="exact"/>
    </w:pPr>
    <w:rPr>
      <w:rFonts w:eastAsia="仿宋_GB2312"/>
      <w:smallCaps/>
      <w:sz w:val="28"/>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题头内容"/>
    <w:basedOn w:val="1"/>
    <w:qFormat/>
    <w:uiPriority w:val="0"/>
    <w:pPr>
      <w:adjustRightInd w:val="0"/>
      <w:spacing w:before="120" w:after="120" w:line="312" w:lineRule="atLeast"/>
      <w:ind w:right="879" w:firstLine="839"/>
      <w:jc w:val="center"/>
      <w:textAlignment w:val="baseline"/>
    </w:pPr>
    <w:rPr>
      <w:rFonts w:eastAsia="仿宋_GB2312"/>
      <w:sz w:val="28"/>
    </w:rPr>
  </w:style>
  <w:style w:type="paragraph" w:customStyle="1" w:styleId="25">
    <w:name w:val="样式1"/>
    <w:basedOn w:val="1"/>
    <w:qFormat/>
    <w:uiPriority w:val="0"/>
    <w:pPr>
      <w:overflowPunct w:val="0"/>
      <w:autoSpaceDE w:val="0"/>
      <w:autoSpaceDN w:val="0"/>
      <w:adjustRightInd w:val="0"/>
      <w:spacing w:after="80" w:line="360" w:lineRule="auto"/>
      <w:ind w:firstLine="618"/>
      <w:textAlignment w:val="baseline"/>
    </w:pPr>
    <w:rPr>
      <w:sz w:val="28"/>
    </w:rPr>
  </w:style>
  <w:style w:type="character" w:customStyle="1" w:styleId="26">
    <w:name w:val="页眉 字符"/>
    <w:basedOn w:val="21"/>
    <w:link w:val="16"/>
    <w:qFormat/>
    <w:uiPriority w:val="0"/>
    <w:rPr>
      <w:rFonts w:ascii="宋体" w:hAnsi="宋体" w:eastAsia="宋体" w:cs="宋体"/>
      <w:sz w:val="18"/>
      <w:szCs w:val="18"/>
    </w:rPr>
  </w:style>
  <w:style w:type="character" w:customStyle="1" w:styleId="27">
    <w:name w:val="标题 5 字符"/>
    <w:basedOn w:val="21"/>
    <w:link w:val="7"/>
    <w:semiHidden/>
    <w:qFormat/>
    <w:uiPriority w:val="0"/>
    <w:rPr>
      <w:rFonts w:ascii="宋体" w:hAnsi="宋体" w:eastAsia="宋体" w:cs="宋体"/>
      <w:b/>
      <w:bCs/>
      <w:sz w:val="28"/>
      <w:szCs w:val="28"/>
    </w:rPr>
  </w:style>
  <w:style w:type="character" w:customStyle="1" w:styleId="28">
    <w:name w:val="标题 1 字符"/>
    <w:basedOn w:val="21"/>
    <w:link w:val="2"/>
    <w:qFormat/>
    <w:uiPriority w:val="0"/>
    <w:rPr>
      <w:rFonts w:ascii="宋体" w:hAnsi="宋体" w:eastAsia="宋体" w:cs="宋体"/>
      <w:b/>
      <w:bCs/>
      <w:kern w:val="44"/>
      <w:sz w:val="44"/>
      <w:szCs w:val="44"/>
    </w:rPr>
  </w:style>
  <w:style w:type="character" w:customStyle="1" w:styleId="29">
    <w:name w:val="标题 6 字符"/>
    <w:basedOn w:val="21"/>
    <w:link w:val="8"/>
    <w:semiHidden/>
    <w:qFormat/>
    <w:uiPriority w:val="0"/>
    <w:rPr>
      <w:rFonts w:asciiTheme="majorHAnsi" w:hAnsiTheme="majorHAnsi" w:eastAsiaTheme="majorEastAsia" w:cstheme="majorBidi"/>
      <w:b/>
      <w:bCs/>
      <w:sz w:val="24"/>
      <w:szCs w:val="24"/>
    </w:rPr>
  </w:style>
  <w:style w:type="character" w:customStyle="1" w:styleId="30">
    <w:name w:val="标题 7 字符"/>
    <w:basedOn w:val="21"/>
    <w:link w:val="9"/>
    <w:semiHidden/>
    <w:qFormat/>
    <w:uiPriority w:val="0"/>
    <w:rPr>
      <w:rFonts w:ascii="宋体" w:hAnsi="宋体" w:eastAsia="宋体" w:cs="宋体"/>
      <w:b/>
      <w:bCs/>
      <w:sz w:val="24"/>
      <w:szCs w:val="24"/>
    </w:rPr>
  </w:style>
  <w:style w:type="character" w:customStyle="1" w:styleId="31">
    <w:name w:val="标题 8 字符"/>
    <w:basedOn w:val="21"/>
    <w:link w:val="10"/>
    <w:semiHidden/>
    <w:qFormat/>
    <w:uiPriority w:val="0"/>
    <w:rPr>
      <w:rFonts w:asciiTheme="majorHAnsi" w:hAnsiTheme="majorHAnsi" w:eastAsiaTheme="majorEastAsia" w:cstheme="majorBidi"/>
      <w:sz w:val="24"/>
      <w:szCs w:val="24"/>
    </w:rPr>
  </w:style>
  <w:style w:type="character" w:customStyle="1" w:styleId="32">
    <w:name w:val="标题 9 字符"/>
    <w:basedOn w:val="21"/>
    <w:link w:val="11"/>
    <w:semiHidden/>
    <w:qFormat/>
    <w:uiPriority w:val="0"/>
    <w:rPr>
      <w:rFonts w:asciiTheme="majorHAnsi" w:hAnsiTheme="majorHAnsi" w:eastAsiaTheme="majorEastAsia" w:cstheme="majorBidi"/>
      <w:sz w:val="21"/>
      <w:szCs w:val="21"/>
    </w:rPr>
  </w:style>
  <w:style w:type="character" w:customStyle="1" w:styleId="33">
    <w:name w:val="页脚 字符"/>
    <w:basedOn w:val="21"/>
    <w:link w:val="15"/>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9C1E0-124D-4A25-BE59-447DBA0C9367}">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7113</Words>
  <Characters>8434</Characters>
  <Lines>61</Lines>
  <Paragraphs>17</Paragraphs>
  <TotalTime>59</TotalTime>
  <ScaleCrop>false</ScaleCrop>
  <LinksUpToDate>false</LinksUpToDate>
  <CharactersWithSpaces>8489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2024-11-06T09:19:00Z</dcterms:created>
  <dcterms:modified xsi:type="dcterms:W3CDTF">2024-11-15T03:38:39Z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F49F5E085115442C8767F38CEC9D4EA1_13</vt:lpwstr>
  </property>
</Properties>
</file>